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line="207" w:lineRule="auto"/>
        <w:rPr>
          <w:rFonts w:hint="eastAsia" w:ascii="黑体" w:hAnsi="黑体" w:eastAsia="黑体" w:cs="新宋体"/>
          <w:spacing w:val="-8"/>
          <w:sz w:val="24"/>
          <w:szCs w:val="24"/>
          <w:lang w:val="en-US" w:eastAsia="zh-CN"/>
        </w:rPr>
      </w:pPr>
      <w:r>
        <w:rPr>
          <w:rFonts w:ascii="黑体" w:hAnsi="黑体" w:eastAsia="黑体" w:cs="新宋体"/>
          <w:spacing w:val="-10"/>
          <w:sz w:val="24"/>
          <w:szCs w:val="24"/>
        </w:rPr>
        <w:t>附</w:t>
      </w:r>
      <w:r>
        <w:rPr>
          <w:rFonts w:ascii="黑体" w:hAnsi="黑体" w:eastAsia="黑体" w:cs="新宋体"/>
          <w:spacing w:val="-8"/>
          <w:sz w:val="24"/>
          <w:szCs w:val="24"/>
        </w:rPr>
        <w:t>件</w:t>
      </w:r>
      <w:r>
        <w:rPr>
          <w:rFonts w:hint="eastAsia" w:ascii="黑体" w:hAnsi="黑体" w:eastAsia="黑体" w:cs="新宋体"/>
          <w:spacing w:val="-8"/>
          <w:sz w:val="24"/>
          <w:szCs w:val="24"/>
          <w:lang w:val="en-US" w:eastAsia="zh-CN"/>
        </w:rPr>
        <w:t>4</w:t>
      </w:r>
    </w:p>
    <w:p>
      <w:pPr>
        <w:spacing w:before="44" w:line="207" w:lineRule="auto"/>
        <w:rPr>
          <w:rFonts w:ascii="黑体" w:hAnsi="黑体" w:eastAsia="黑体" w:cs="新宋体"/>
          <w:sz w:val="24"/>
          <w:szCs w:val="24"/>
        </w:rPr>
      </w:pPr>
    </w:p>
    <w:p>
      <w:pPr>
        <w:widowControl w:val="0"/>
        <w:kinsoku/>
        <w:autoSpaceDE/>
        <w:autoSpaceDN/>
        <w:spacing w:line="480" w:lineRule="exact"/>
        <w:jc w:val="center"/>
        <w:textAlignment w:val="auto"/>
        <w:rPr>
          <w:rFonts w:ascii="黑体" w:hAnsi="黑体" w:eastAsia="黑体" w:cs="宋体"/>
          <w:snapToGrid/>
          <w:color w:val="auto"/>
          <w:spacing w:val="-12"/>
          <w:kern w:val="2"/>
          <w:sz w:val="44"/>
          <w:szCs w:val="28"/>
        </w:rPr>
      </w:pPr>
      <w:r>
        <w:rPr>
          <w:rFonts w:hint="eastAsia" w:ascii="黑体" w:hAnsi="黑体" w:eastAsia="黑体" w:cs="宋体"/>
          <w:snapToGrid/>
          <w:color w:val="auto"/>
          <w:spacing w:val="-12"/>
          <w:kern w:val="2"/>
          <w:sz w:val="44"/>
          <w:szCs w:val="28"/>
        </w:rPr>
        <w:t>扬州市市</w:t>
      </w:r>
      <w:r>
        <w:rPr>
          <w:rFonts w:ascii="黑体" w:hAnsi="黑体" w:eastAsia="黑体" w:cs="宋体"/>
          <w:snapToGrid/>
          <w:color w:val="auto"/>
          <w:spacing w:val="-12"/>
          <w:kern w:val="2"/>
          <w:sz w:val="44"/>
          <w:szCs w:val="28"/>
        </w:rPr>
        <w:t>级部门整体绩效自评价</w:t>
      </w:r>
      <w:r>
        <w:rPr>
          <w:rFonts w:hint="eastAsia" w:ascii="黑体" w:hAnsi="黑体" w:eastAsia="黑体" w:cs="宋体"/>
          <w:snapToGrid/>
          <w:color w:val="auto"/>
          <w:spacing w:val="-12"/>
          <w:kern w:val="2"/>
          <w:sz w:val="44"/>
          <w:szCs w:val="28"/>
          <w:lang w:eastAsia="zh-CN"/>
        </w:rPr>
        <w:t>评分</w:t>
      </w:r>
      <w:r>
        <w:rPr>
          <w:rFonts w:ascii="黑体" w:hAnsi="黑体" w:eastAsia="黑体" w:cs="宋体"/>
          <w:snapToGrid/>
          <w:color w:val="auto"/>
          <w:spacing w:val="-12"/>
          <w:kern w:val="2"/>
          <w:sz w:val="44"/>
          <w:szCs w:val="28"/>
        </w:rPr>
        <w:t>表</w:t>
      </w:r>
    </w:p>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2023年度</w:t>
      </w:r>
    </w:p>
    <w:p>
      <w:pPr>
        <w:widowControl w:val="0"/>
        <w:kinsoku/>
        <w:autoSpaceDE/>
        <w:autoSpaceDN/>
        <w:spacing w:line="240" w:lineRule="exact"/>
        <w:textAlignment w:val="auto"/>
        <w:rPr>
          <w:rFonts w:ascii="宋体" w:hAnsi="宋体" w:eastAsia="宋体" w:cs="宋体"/>
          <w:snapToGrid/>
          <w:color w:val="auto"/>
          <w:spacing w:val="-12"/>
          <w:kern w:val="2"/>
        </w:rPr>
      </w:pPr>
    </w:p>
    <w:tbl>
      <w:tblPr>
        <w:tblStyle w:val="4"/>
        <w:tblW w:w="10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3"/>
        <w:gridCol w:w="1493"/>
        <w:gridCol w:w="1028"/>
        <w:gridCol w:w="1069"/>
        <w:gridCol w:w="681"/>
        <w:gridCol w:w="3577"/>
        <w:gridCol w:w="1084"/>
        <w:gridCol w:w="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jc w:val="center"/>
        </w:trPr>
        <w:tc>
          <w:tcPr>
            <w:tcW w:w="843"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b/>
                <w:bCs/>
                <w:snapToGrid/>
                <w:color w:val="auto"/>
                <w:spacing w:val="-12"/>
                <w:kern w:val="2"/>
                <w:lang w:eastAsia="zh-CN"/>
              </w:rPr>
              <w:t>填报单位</w:t>
            </w:r>
            <w:r>
              <w:rPr>
                <w:rFonts w:hint="eastAsia" w:ascii="宋体" w:hAnsi="宋体" w:eastAsia="宋体" w:cs="宋体"/>
                <w:snapToGrid/>
                <w:color w:val="auto"/>
                <w:spacing w:val="-12"/>
                <w:kern w:val="2"/>
                <w:lang w:eastAsia="zh-CN"/>
              </w:rPr>
              <w:t>：</w:t>
            </w:r>
          </w:p>
        </w:tc>
        <w:tc>
          <w:tcPr>
            <w:tcW w:w="9627" w:type="dxa"/>
            <w:gridSpan w:val="7"/>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扬州市木偶研究所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3" w:hRule="atLeast"/>
          <w:jc w:val="center"/>
        </w:trPr>
        <w:tc>
          <w:tcPr>
            <w:tcW w:w="843"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一级指标</w:t>
            </w:r>
          </w:p>
        </w:tc>
        <w:tc>
          <w:tcPr>
            <w:tcW w:w="1493"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二级指标</w:t>
            </w:r>
          </w:p>
        </w:tc>
        <w:tc>
          <w:tcPr>
            <w:tcW w:w="1028"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三级指标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全年指标值</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分值</w:t>
            </w:r>
          </w:p>
        </w:tc>
        <w:tc>
          <w:tcPr>
            <w:tcW w:w="3577"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评价要点及评分规则</w:t>
            </w:r>
          </w:p>
        </w:tc>
        <w:tc>
          <w:tcPr>
            <w:tcW w:w="108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实际完成值</w:t>
            </w:r>
          </w:p>
        </w:tc>
        <w:tc>
          <w:tcPr>
            <w:tcW w:w="695"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7" w:hRule="atLeast"/>
          <w:jc w:val="center"/>
        </w:trPr>
        <w:tc>
          <w:tcPr>
            <w:tcW w:w="843"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决策(6)</w:t>
            </w:r>
          </w:p>
        </w:tc>
        <w:tc>
          <w:tcPr>
            <w:tcW w:w="1493"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计划制定(2)</w:t>
            </w:r>
          </w:p>
        </w:tc>
        <w:tc>
          <w:tcPr>
            <w:tcW w:w="1028"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中长期规划健</w:t>
            </w:r>
          </w:p>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全性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评价要点:①是否制定了明确的中长期规划，包括总体目标、工作内容、时间进度等；②中长期规划是否涵盖了部门全部职能，并与部门职能相匹配。</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评分规则:以上评价要点各占1/2分值，每个要点执行情况分为达成、部分达成、未达成三档，分别按分值的100%-80%(含)、80%-60%(含)、60%-0%合理确定分值。</w:t>
            </w:r>
          </w:p>
        </w:tc>
        <w:tc>
          <w:tcPr>
            <w:tcW w:w="1084"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健全</w:t>
            </w:r>
          </w:p>
        </w:tc>
        <w:tc>
          <w:tcPr>
            <w:tcW w:w="695"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4" w:hRule="atLeast"/>
          <w:jc w:val="center"/>
        </w:trPr>
        <w:tc>
          <w:tcPr>
            <w:tcW w:w="843"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493"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28"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工作计划健全</w:t>
            </w:r>
          </w:p>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制定了明确的年度工作计划，包括总体目标、实施内容、时间、资金、人员等；②年度工作计划是否具体、可操作；③年度工作计划是否与部门职能相匹配；④年度工作计划是否与部门中长期战略相衔接。</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评分规则:以上评价要点各占1/4分值，每个要点执行情况分为达成、部分达成、未达成三档，分别按分值的100%-80%(含)、80%-60%(含)、60%-0%合理确定分值。</w:t>
            </w:r>
          </w:p>
        </w:tc>
        <w:tc>
          <w:tcPr>
            <w:tcW w:w="108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eastAsia="zh-CN"/>
              </w:rPr>
              <w:t>健全</w:t>
            </w:r>
          </w:p>
        </w:tc>
        <w:tc>
          <w:tcPr>
            <w:tcW w:w="695"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00" w:hRule="atLeast"/>
          <w:jc w:val="center"/>
        </w:trPr>
        <w:tc>
          <w:tcPr>
            <w:tcW w:w="843"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493"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目标设定(2)</w:t>
            </w:r>
          </w:p>
        </w:tc>
        <w:tc>
          <w:tcPr>
            <w:tcW w:w="1028"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绩效目标合理性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合理</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评价要点:①是否符合国家法律法规、国民经济和社会发展总体规划、部门"三定"方案确定的职责；②是否符合部门制定的中长期规划和年度工作计划；③是否与本年度部门预算资金相匹配。</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评分规则:以上评价要点各占1/3分值，每个要点执行情况分为达成、部分达成、未达成三档，分别按分值的100%-80%(含)、80%-60% (含)、60%-0%合理确定分值。</w:t>
            </w:r>
          </w:p>
        </w:tc>
        <w:tc>
          <w:tcPr>
            <w:tcW w:w="1084"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合理</w:t>
            </w:r>
          </w:p>
        </w:tc>
        <w:tc>
          <w:tcPr>
            <w:tcW w:w="695"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6" w:hRule="atLeast"/>
          <w:jc w:val="center"/>
        </w:trPr>
        <w:tc>
          <w:tcPr>
            <w:tcW w:w="843"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493"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28"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绩效指标明确性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明确</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评价要点:①是否将部门整体预算绩效目标细化分解为具体的重点工作任务；②部门整体及项目的绩效指标是否清晰，指标值是否量化、可衡量；③是否与年度重点工作任务数相对应，并突出核心绩效指标。</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评分规则:以上评价要点各占1/3分值，每个要点执行情况分为达成、部分达成、未达成三档，分别按分值的100%-80%(含)、80%-60%(含)、60%-0%合理确定分值。</w:t>
            </w:r>
          </w:p>
        </w:tc>
        <w:tc>
          <w:tcPr>
            <w:tcW w:w="1084"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明确</w:t>
            </w:r>
          </w:p>
        </w:tc>
        <w:tc>
          <w:tcPr>
            <w:tcW w:w="695"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bl>
    <w:p>
      <w:pPr>
        <w:widowControl w:val="0"/>
        <w:kinsoku/>
        <w:autoSpaceDE/>
        <w:autoSpaceDN/>
        <w:spacing w:line="240" w:lineRule="exact"/>
        <w:jc w:val="both"/>
        <w:textAlignment w:val="auto"/>
        <w:rPr>
          <w:rFonts w:ascii="宋体" w:hAnsi="宋体" w:eastAsia="宋体" w:cs="宋体"/>
          <w:snapToGrid/>
          <w:color w:val="auto"/>
          <w:spacing w:val="-12"/>
          <w:kern w:val="2"/>
        </w:rPr>
      </w:pPr>
    </w:p>
    <w:p>
      <w:pPr>
        <w:widowControl w:val="0"/>
        <w:kinsoku/>
        <w:autoSpaceDE/>
        <w:autoSpaceDN/>
        <w:spacing w:line="240" w:lineRule="exact"/>
        <w:jc w:val="center"/>
        <w:textAlignment w:val="auto"/>
        <w:rPr>
          <w:rFonts w:ascii="宋体" w:hAnsi="宋体" w:eastAsia="宋体" w:cs="宋体"/>
          <w:snapToGrid/>
          <w:color w:val="auto"/>
          <w:spacing w:val="-12"/>
          <w:kern w:val="2"/>
        </w:rPr>
        <w:sectPr>
          <w:footerReference r:id="rId3" w:type="default"/>
          <w:pgSz w:w="11905" w:h="16840"/>
          <w:pgMar w:top="1177" w:right="804" w:bottom="400" w:left="619" w:header="0" w:footer="0" w:gutter="0"/>
          <w:pgBorders>
            <w:top w:val="none" w:sz="0" w:space="0"/>
            <w:left w:val="none" w:sz="0" w:space="0"/>
            <w:bottom w:val="none" w:sz="0" w:space="0"/>
            <w:right w:val="none" w:sz="0" w:space="0"/>
          </w:pgBorders>
          <w:cols w:space="720" w:num="1"/>
        </w:sectPr>
      </w:pPr>
    </w:p>
    <w:tbl>
      <w:tblPr>
        <w:tblStyle w:val="4"/>
        <w:tblW w:w="10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6"/>
        <w:gridCol w:w="1194"/>
        <w:gridCol w:w="1134"/>
        <w:gridCol w:w="1069"/>
        <w:gridCol w:w="681"/>
        <w:gridCol w:w="3952"/>
        <w:gridCol w:w="716"/>
        <w:gridCol w:w="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2" w:hRule="atLeast"/>
          <w:jc w:val="center"/>
        </w:trPr>
        <w:tc>
          <w:tcPr>
            <w:tcW w:w="1036"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决策（6）</w:t>
            </w:r>
          </w:p>
        </w:tc>
        <w:tc>
          <w:tcPr>
            <w:tcW w:w="1194"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预算编制(2)</w:t>
            </w: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预算编制科学性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科学</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评价要点:①预算编制的基本信息内容是否真实、完整、准确，基本支出预算是否按照规定标准编制；项目预算测算依据是否充分，资金分配是否公平合理，是否与年度目标相匹配；②重点项目预算是否有保障；部门内项目之间是否存在重复交叉。</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评分规则:以上评价要点各占1/2权重，每个要点执行情况分为达成、部分达成、未达成三档，按100%-80%(含)、80%-60%(含)、60%-0%合理评分。</w:t>
            </w:r>
          </w:p>
        </w:tc>
        <w:tc>
          <w:tcPr>
            <w:tcW w:w="71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科学</w:t>
            </w:r>
          </w:p>
        </w:tc>
        <w:tc>
          <w:tcPr>
            <w:tcW w:w="688"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3"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预算编制规范性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规范</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评价要点:①部门是否编制了中期财政规划，是否完整规范，严格按照规定时间和流程编制预算；②各项目设立依据是否充分，是否按照规定的程序申请设立，事前是否经过必要的可行性研究、专家论证、风险评估、绩效评估、集体决策等；③审批文件、材料是否符合相关要求。</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评分规则:以上评价要点各占1/3权重，每个要点执行情况分为达成、部分达成、未达成三档，按100%-80%(含)、80%-60%(含)、60%-0%合理评分。</w:t>
            </w:r>
          </w:p>
        </w:tc>
        <w:tc>
          <w:tcPr>
            <w:tcW w:w="71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规范</w:t>
            </w:r>
          </w:p>
        </w:tc>
        <w:tc>
          <w:tcPr>
            <w:tcW w:w="688"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3" w:hRule="atLeast"/>
          <w:jc w:val="center"/>
        </w:trPr>
        <w:tc>
          <w:tcPr>
            <w:tcW w:w="1036"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过程（26）</w:t>
            </w:r>
          </w:p>
        </w:tc>
        <w:tc>
          <w:tcPr>
            <w:tcW w:w="1194"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预算执行(8)</w:t>
            </w: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预算调整率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预算调整率=(预算调整数/预算数)×100%。预算调整数:部门(单位)在本年度内涉及预算的追加、追减或结构调整的资金总和(因落实国家政策，发生不可抗力、上级部门或本级党委政府临时交办而产生的调整除外)。</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评分规则:1.比率=0%，得满分；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2.0%&lt;比率≤</w:t>
            </w:r>
            <w:r>
              <w:rPr>
                <w:rFonts w:hint="eastAsia" w:ascii="宋体" w:hAnsi="宋体" w:eastAsia="宋体" w:cs="宋体"/>
                <w:snapToGrid/>
                <w:color w:val="auto"/>
                <w:spacing w:val="-12"/>
                <w:kern w:val="2"/>
                <w:sz w:val="20"/>
              </w:rPr>
              <w:t>2</w:t>
            </w:r>
            <w:r>
              <w:rPr>
                <w:rFonts w:ascii="宋体" w:hAnsi="宋体" w:eastAsia="宋体" w:cs="宋体"/>
                <w:snapToGrid/>
                <w:color w:val="auto"/>
                <w:spacing w:val="-12"/>
                <w:kern w:val="2"/>
                <w:sz w:val="20"/>
              </w:rPr>
              <w:t>0%，每增加1%，扣5%的权重分，扣完为止。</w:t>
            </w:r>
          </w:p>
        </w:tc>
        <w:tc>
          <w:tcPr>
            <w:tcW w:w="71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1.32</w:t>
            </w:r>
            <w:bookmarkStart w:id="0" w:name="_GoBack"/>
            <w:bookmarkEnd w:id="0"/>
            <w:r>
              <w:rPr>
                <w:rFonts w:hint="eastAsia" w:ascii="宋体" w:hAnsi="宋体" w:eastAsia="宋体" w:cs="宋体"/>
                <w:snapToGrid/>
                <w:color w:val="auto"/>
                <w:spacing w:val="-12"/>
                <w:kern w:val="2"/>
                <w:lang w:val="en-US" w:eastAsia="zh-CN"/>
              </w:rPr>
              <w:t>%</w:t>
            </w:r>
          </w:p>
        </w:tc>
        <w:tc>
          <w:tcPr>
            <w:tcW w:w="688"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60"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支付进度符合率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支付进度率=(实际支付进度/计划支付进度)×100%。实际支付进度:部门在某一时点的支出数与年度预算数的比率。计划支付进度:由部门在申报部门整体绩效目标时确定的支付进度(比率)。</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w:t>
            </w:r>
            <w:r>
              <w:rPr>
                <w:rFonts w:hint="eastAsia" w:ascii="宋体" w:hAnsi="宋体" w:eastAsia="宋体" w:cs="宋体"/>
                <w:snapToGrid/>
                <w:color w:val="auto"/>
                <w:spacing w:val="-12"/>
                <w:kern w:val="2"/>
                <w:sz w:val="20"/>
              </w:rPr>
              <w:t xml:space="preserve"> </w:t>
            </w:r>
            <w:r>
              <w:rPr>
                <w:rFonts w:ascii="宋体" w:hAnsi="宋体" w:eastAsia="宋体" w:cs="宋体"/>
                <w:snapToGrid/>
                <w:color w:val="auto"/>
                <w:spacing w:val="-12"/>
                <w:kern w:val="2"/>
                <w:sz w:val="20"/>
              </w:rPr>
              <w:t>1.比率≥100%，得满分；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2.比率&lt;100%，每减少1%，扣2%的权重分，扣完为止。</w:t>
            </w:r>
          </w:p>
        </w:tc>
        <w:tc>
          <w:tcPr>
            <w:tcW w:w="716" w:type="dxa"/>
            <w:vAlign w:val="center"/>
          </w:tcPr>
          <w:p>
            <w:pPr>
              <w:widowControl w:val="0"/>
              <w:kinsoku/>
              <w:autoSpaceDE/>
              <w:autoSpaceDN/>
              <w:spacing w:line="240" w:lineRule="exact"/>
              <w:jc w:val="both"/>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8"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预算执行率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val="en-US" w:eastAsia="zh-CN"/>
              </w:rPr>
              <w:t>2</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1.基本支出预算执行率=(基本支出预算执行数/基本支出调整预算数)×100%。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2.项目支出预算执行率=(项目支出预算执行数/项目支出调整预算数)×100%。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评分规则:以上评价要点各占1/2权重，得分=(基本支出预算执行率＋项目支出预算执行率)×50%×分值。</w:t>
            </w:r>
          </w:p>
        </w:tc>
        <w:tc>
          <w:tcPr>
            <w:tcW w:w="716" w:type="dxa"/>
            <w:vAlign w:val="center"/>
          </w:tcPr>
          <w:p>
            <w:pPr>
              <w:widowControl w:val="0"/>
              <w:kinsoku/>
              <w:autoSpaceDE/>
              <w:autoSpaceDN/>
              <w:spacing w:line="240" w:lineRule="exact"/>
              <w:jc w:val="both"/>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101.68%</w:t>
            </w:r>
          </w:p>
        </w:tc>
        <w:tc>
          <w:tcPr>
            <w:tcW w:w="688"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4"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结转结余率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结转结余率=结转结余总额/调整预算数×100%。结转结余总额:部门(单位)本年度的结转资金与结余资金之和(以决算数为准，</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经费未执行数和政府采购节约资金等视同已支出)。</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评分规则:1.比率=0%，得满分；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 0%&lt;比率≤</w:t>
            </w:r>
            <w:r>
              <w:rPr>
                <w:rFonts w:hint="eastAsia" w:ascii="宋体" w:hAnsi="宋体" w:eastAsia="宋体" w:cs="宋体"/>
                <w:snapToGrid/>
                <w:color w:val="auto"/>
                <w:spacing w:val="-12"/>
                <w:kern w:val="2"/>
                <w:sz w:val="20"/>
              </w:rPr>
              <w:t>1</w:t>
            </w:r>
            <w:r>
              <w:rPr>
                <w:rFonts w:ascii="宋体" w:hAnsi="宋体" w:eastAsia="宋体" w:cs="宋体"/>
                <w:snapToGrid/>
                <w:color w:val="auto"/>
                <w:spacing w:val="-12"/>
                <w:kern w:val="2"/>
                <w:sz w:val="20"/>
              </w:rPr>
              <w:t>0%，每增加1%，扣10%的权重分，扣完为止。</w:t>
            </w:r>
          </w:p>
        </w:tc>
        <w:tc>
          <w:tcPr>
            <w:tcW w:w="71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c>
          <w:tcPr>
            <w:tcW w:w="688"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7"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公用经费控制率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公用经费控制率=(实际支出公用经费总额/预算安排公用经费总额)×100%。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评分规则:1.比率≤100%，得满分；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2.比率&gt;100%，不得分。</w:t>
            </w:r>
          </w:p>
        </w:tc>
        <w:tc>
          <w:tcPr>
            <w:tcW w:w="71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9"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4"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34"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w:t>
            </w:r>
            <w:r>
              <w:rPr>
                <w:rFonts w:ascii="宋体" w:hAnsi="宋体" w:eastAsia="宋体" w:cs="宋体"/>
                <w:snapToGrid/>
                <w:color w:val="auto"/>
                <w:spacing w:val="-12"/>
                <w:kern w:val="2"/>
              </w:rPr>
              <w:t>三公经费</w:t>
            </w:r>
            <w:r>
              <w:rPr>
                <w:rFonts w:hint="eastAsia" w:ascii="宋体" w:hAnsi="宋体" w:eastAsia="宋体" w:cs="宋体"/>
                <w:snapToGrid/>
                <w:color w:val="auto"/>
                <w:spacing w:val="-12"/>
                <w:kern w:val="2"/>
              </w:rPr>
              <w:t>”</w:t>
            </w:r>
            <w:r>
              <w:rPr>
                <w:rFonts w:ascii="宋体" w:hAnsi="宋体" w:eastAsia="宋体" w:cs="宋体"/>
                <w:snapToGrid/>
                <w:color w:val="auto"/>
                <w:spacing w:val="-12"/>
                <w:kern w:val="2"/>
              </w:rPr>
              <w:t>变动率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952"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三公经费</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变动率=[(本年度</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三公经费</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总额-上年度</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三公经费</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总额)/上年度</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三公经费</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总额]×100%。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三公经费</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:年度预算安排的因公出国(境)</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费、公务车辆购置及运行费和公务招待费。评分规则:</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1.比率≤0%，得满分；</w:t>
            </w:r>
          </w:p>
          <w:p>
            <w:pPr>
              <w:widowControl w:val="0"/>
              <w:kinsoku/>
              <w:autoSpaceDE/>
              <w:autoSpaceDN/>
              <w:spacing w:line="240" w:lineRule="exact"/>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sz w:val="20"/>
              </w:rPr>
              <w:t>2.比率&gt;0%，不得分。</w:t>
            </w:r>
          </w:p>
        </w:tc>
        <w:tc>
          <w:tcPr>
            <w:tcW w:w="71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c>
          <w:tcPr>
            <w:tcW w:w="688"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r>
    </w:tbl>
    <w:p>
      <w:pPr>
        <w:widowControl w:val="0"/>
        <w:kinsoku/>
        <w:autoSpaceDE/>
        <w:autoSpaceDN/>
        <w:spacing w:line="240" w:lineRule="exact"/>
        <w:jc w:val="center"/>
        <w:textAlignment w:val="auto"/>
        <w:rPr>
          <w:rFonts w:ascii="宋体" w:hAnsi="宋体" w:eastAsia="宋体" w:cs="宋体"/>
          <w:snapToGrid/>
          <w:color w:val="auto"/>
          <w:spacing w:val="-12"/>
          <w:kern w:val="2"/>
        </w:rPr>
        <w:sectPr>
          <w:pgSz w:w="11905" w:h="16840"/>
          <w:pgMar w:top="1075" w:right="804" w:bottom="400" w:left="619" w:header="0" w:footer="0" w:gutter="0"/>
          <w:pgBorders>
            <w:top w:val="none" w:sz="0" w:space="0"/>
            <w:left w:val="none" w:sz="0" w:space="0"/>
            <w:bottom w:val="none" w:sz="0" w:space="0"/>
            <w:right w:val="none" w:sz="0" w:space="0"/>
          </w:pgBorders>
          <w:cols w:space="720" w:num="1"/>
        </w:sectPr>
      </w:pPr>
    </w:p>
    <w:tbl>
      <w:tblPr>
        <w:tblStyle w:val="4"/>
        <w:tblW w:w="10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6"/>
        <w:gridCol w:w="1199"/>
        <w:gridCol w:w="1129"/>
        <w:gridCol w:w="1069"/>
        <w:gridCol w:w="681"/>
        <w:gridCol w:w="4199"/>
        <w:gridCol w:w="611"/>
        <w:gridCol w:w="5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92" w:hRule="atLeast"/>
          <w:jc w:val="center"/>
        </w:trPr>
        <w:tc>
          <w:tcPr>
            <w:tcW w:w="1036"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过程(26)</w:t>
            </w:r>
          </w:p>
        </w:tc>
        <w:tc>
          <w:tcPr>
            <w:tcW w:w="1199"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预算执行(8)</w:t>
            </w: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政府采购执行率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政府采购执行率=(实际政府采购金额/政府采购预算数)×100%；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政府采购预算:采购机关根据事业发展计划和行政任务编制的、并经过规定程序批准的年度政府采购计划。</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评分规则:得分=政府采购执行率×分值。</w:t>
            </w:r>
          </w:p>
        </w:tc>
        <w:tc>
          <w:tcPr>
            <w:tcW w:w="611"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54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5"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非税收入预算完成率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非税收入预算完成率=(非税收入实际完成数/非税收入预算数)×100%。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非税收入实际完成数:部门(单位)本年度实际完成的非税收入数。</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预算数:本年度部门(单位)编制的非税收入预算数。</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1.比率≥100%，得满分；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2.比率&lt;100%，每减少1%，扣2%的权重分，扣完为止。</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100%</w:t>
            </w:r>
          </w:p>
        </w:tc>
        <w:tc>
          <w:tcPr>
            <w:tcW w:w="54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1"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restart"/>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预算管理(6)</w:t>
            </w: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预算管理制度健全性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已制定或具有相应的预算管理内控制度，包括收入与支出管理、往来资金结算管理、现金及银行存款管理、财务监督管理、政府采购管理、绩效管理等；②预算管理制度是否合法、合规、完整。评分规则:以上评价要点各占1/2分值，每个要点执行情况分为达成、部分达成、未达成三档，分别按分值的100%-80% (含)、80%-60%(含)、60%-0%合理确定分值。</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健全</w:t>
            </w:r>
          </w:p>
        </w:tc>
        <w:tc>
          <w:tcPr>
            <w:tcW w:w="54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69"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资金使用合规性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合规</w:t>
            </w:r>
          </w:p>
        </w:tc>
        <w:tc>
          <w:tcPr>
            <w:tcW w:w="68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符合国家财经法规和财务管理制度以及有关专项资金管理办法的规定；②是否存在截留、挤占、挪用、虚列支出等情况；③资金拨付是否有完整的审批程序和手续；④公用经费是否存在超标准支出情况，项目支出与公用经费是否存在重复交叉。评分规则:以上评价要点各占1/4分值，每个要点执行情况分为达成、部分达成、未达成三档，分别按分值的100%-80%(含)、80%-60%(含)、60%-0%合理确定分值。</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合规</w:t>
            </w:r>
          </w:p>
        </w:tc>
        <w:tc>
          <w:tcPr>
            <w:tcW w:w="54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5"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绩效管理覆盖率</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绩效管理覆盖率=(纳入绩效管理预算数/部门整体预算总额</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×100%。评分规则:得分=绩效管理覆盖率×分值。</w:t>
            </w:r>
          </w:p>
        </w:tc>
        <w:tc>
          <w:tcPr>
            <w:tcW w:w="611"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54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8"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基础信息完善性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完善</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基本财务管理制度健全；②基础数据信息和会计信息资料是否真实、完整、准确。评分规则:以上评价要点各占1/2分值，每个要点执行情况分为达成、部分达成、未达成三档，分别按分值的100%-80%(含)、80%-60%(含)、60%-0%合理确定分值。</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完善</w:t>
            </w:r>
          </w:p>
        </w:tc>
        <w:tc>
          <w:tcPr>
            <w:tcW w:w="54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4"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预决算信息公开度</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公开</w:t>
            </w:r>
          </w:p>
        </w:tc>
        <w:tc>
          <w:tcPr>
            <w:tcW w:w="681"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按规定内容公开预决算信息；②是否按规定时限公开预决算信息。评分规则:以上评价要点各占1/2分值，每个要点执行情况分为达成、部分达成、未达成三档，分别按分值的100%-80%(含)、80%-60%(含)、60%-0%合理确定分值。</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公开</w:t>
            </w:r>
          </w:p>
        </w:tc>
        <w:tc>
          <w:tcPr>
            <w:tcW w:w="546"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18" w:hRule="atLeast"/>
          <w:jc w:val="center"/>
        </w:trPr>
        <w:tc>
          <w:tcPr>
            <w:tcW w:w="1036"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99" w:type="dxa"/>
            <w:vMerge w:val="continue"/>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12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非税收入管理合规性</w:t>
            </w:r>
          </w:p>
        </w:tc>
        <w:tc>
          <w:tcPr>
            <w:tcW w:w="1069" w:type="dxa"/>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合规</w:t>
            </w:r>
          </w:p>
        </w:tc>
        <w:tc>
          <w:tcPr>
            <w:tcW w:w="68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c>
          <w:tcPr>
            <w:tcW w:w="4199" w:type="dxa"/>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评价要点:①非税收入征收是否做到依法征收、应收尽收；②非税收入是否按规定缴入国库或财政专户</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是否存在截留、挪用等情况。评分规则:以上评价要点各占1/2分值，每个要点执行情况分为达成、部分达成、未达成三档</w:t>
            </w:r>
            <w:r>
              <w:rPr>
                <w:rFonts w:hint="eastAsia" w:ascii="宋体" w:hAnsi="宋体" w:eastAsia="宋体" w:cs="宋体"/>
                <w:snapToGrid/>
                <w:color w:val="auto"/>
                <w:spacing w:val="-12"/>
                <w:kern w:val="2"/>
                <w:sz w:val="20"/>
              </w:rPr>
              <w:t>，</w:t>
            </w:r>
            <w:r>
              <w:rPr>
                <w:rFonts w:ascii="宋体" w:hAnsi="宋体" w:eastAsia="宋体" w:cs="宋体"/>
                <w:snapToGrid/>
                <w:color w:val="auto"/>
                <w:spacing w:val="-12"/>
                <w:kern w:val="2"/>
                <w:sz w:val="20"/>
              </w:rPr>
              <w:t>分别按分值的100%-80% (含)、80%-60%(含)、60%-0%合理确定分值。</w:t>
            </w:r>
          </w:p>
        </w:tc>
        <w:tc>
          <w:tcPr>
            <w:tcW w:w="611" w:type="dxa"/>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合规</w:t>
            </w:r>
          </w:p>
        </w:tc>
        <w:tc>
          <w:tcPr>
            <w:tcW w:w="546" w:type="dxa"/>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r>
    </w:tbl>
    <w:p>
      <w:pPr>
        <w:widowControl w:val="0"/>
        <w:kinsoku/>
        <w:autoSpaceDE/>
        <w:autoSpaceDN/>
        <w:spacing w:line="240" w:lineRule="exact"/>
        <w:textAlignment w:val="auto"/>
        <w:rPr>
          <w:rFonts w:ascii="宋体" w:hAnsi="宋体" w:eastAsia="宋体" w:cs="宋体"/>
          <w:snapToGrid/>
          <w:color w:val="auto"/>
          <w:spacing w:val="-12"/>
          <w:kern w:val="2"/>
        </w:rPr>
        <w:sectPr>
          <w:pgSz w:w="11905" w:h="16840"/>
          <w:pgMar w:top="1075" w:right="804" w:bottom="400" w:left="619" w:header="0" w:footer="0" w:gutter="0"/>
          <w:pgBorders>
            <w:top w:val="none" w:sz="0" w:space="0"/>
            <w:left w:val="none" w:sz="0" w:space="0"/>
            <w:bottom w:val="none" w:sz="0" w:space="0"/>
            <w:right w:val="none" w:sz="0" w:space="0"/>
          </w:pgBorders>
          <w:cols w:space="720" w:num="1"/>
        </w:sectPr>
      </w:pPr>
    </w:p>
    <w:tbl>
      <w:tblPr>
        <w:tblStyle w:val="4"/>
        <w:tblW w:w="102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2"/>
        <w:gridCol w:w="1053"/>
        <w:gridCol w:w="1083"/>
        <w:gridCol w:w="918"/>
        <w:gridCol w:w="681"/>
        <w:gridCol w:w="3577"/>
        <w:gridCol w:w="1091"/>
        <w:gridCol w:w="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1122" w:type="dxa"/>
            <w:vMerge w:val="restart"/>
            <w:tcBorders>
              <w:top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过程（26）</w:t>
            </w:r>
          </w:p>
        </w:tc>
        <w:tc>
          <w:tcPr>
            <w:tcW w:w="1053" w:type="dxa"/>
            <w:vMerge w:val="restart"/>
            <w:tcBorders>
              <w:top w:val="single" w:color="000000" w:sz="2" w:space="0"/>
              <w:bottom w:val="nil"/>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资产管理(3)</w:t>
            </w: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资产管理制度健全性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已制定或具有资产管理制度；②相关资金管理制度是否合法、合规、完整。评分规则:以上评价要点各占1/2分值，每个要点执行情况分为达成、部分达成、未达成三档，分别按分值的100%-80%(含)、80%-60%(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健全</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3"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continue"/>
            <w:tcBorders>
              <w:top w:val="nil"/>
              <w:bottom w:val="nil"/>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资产管理规范性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规范</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资产购置是否符合规定，新购资产入库管理是否规范(如编制采购计划、进行采购审核、验收等)；②是否定期对现有资产进行清查统计，是否账实相符；③资产有偿使用和资产处置是否规范，所获收入是否及时足额上缴。评分规则:以上评价要点各占1/3分值，每个要点执行情况分为达成、部分达成、未达成三档，分别按分值的100%-80%(含)、80%-60%(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规范</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5"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continue"/>
            <w:tcBorders>
              <w:top w:val="nil"/>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固定资产利用率</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固定资产利用率=(实际在用固定资产总额/所有固定资产总额)×100%。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评分规则:得分=固定资产利用率×分值。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0"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restart"/>
            <w:tcBorders>
              <w:top w:val="single" w:color="000000" w:sz="2" w:space="0"/>
              <w:bottom w:val="nil"/>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项目管理(3)</w:t>
            </w: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项目管理制度健全性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是否已制定或具有相应的项目管理制度；②项目管理制度是否合法、合规、完整。评分规则:以上评价要点各占1/2分值，每个要点执行情况分为达成、部分达成、未达成三档，分别按分值的100%-80%(含)、80%-60%(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健全</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34"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continue"/>
            <w:tcBorders>
              <w:top w:val="nil"/>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项目管理制度执行规范性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规范</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2</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项目管理工作机制是否健全，沟通协调是否顺畅；②项目是否按照要求规范严格地执行制度，包括可行性论证、概算、预算、施工设计、资金拨付、组织申报、政府采购、招投标、监理、中期检查、竣工验收、公开公示等。评分规则:以上评价要点各占1/2分值，每个要点执行情况分为达成、部分达成、未达成三档，分别按分值的100%-80%(含)、80%-60%(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规范</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72"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restart"/>
            <w:tcBorders>
              <w:top w:val="single" w:color="000000" w:sz="2" w:space="0"/>
              <w:bottom w:val="nil"/>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人员管理(3)</w:t>
            </w: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人员管理制度健全性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健全</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有明确的组织架构和职责分工；②人员配备是否充足，是否能够保障单位履职需要；③是否存在以政府购买服务变相用工情况。评分规则:以上评价要点各占1/3分值，每个要点执行情况分为达成、部分达成、未达成三档，分别按分值的100%-80%(含)、80%-60%(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健全</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25" w:hRule="atLeast"/>
          <w:jc w:val="center"/>
        </w:trPr>
        <w:tc>
          <w:tcPr>
            <w:tcW w:w="1122" w:type="dxa"/>
            <w:vMerge w:val="continue"/>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continue"/>
            <w:tcBorders>
              <w:top w:val="nil"/>
              <w:bottom w:val="nil"/>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人员管理制度执行有效性</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有效</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年终组织个人、处(科)室考核，实施程序规范、资料完整；②考核结果切实运用。评分规则:以上评价要点各占1/2分值，每个要点执行情况分为达成、部分达成、未达成三档，分别按分值的100%-80%(含)、80%-60% (含)、60%-0%合理确定分值。</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有效</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76" w:hRule="atLeast"/>
          <w:jc w:val="center"/>
        </w:trPr>
        <w:tc>
          <w:tcPr>
            <w:tcW w:w="1122" w:type="dxa"/>
            <w:vMerge w:val="continue"/>
            <w:tcBorders>
              <w:bottom w:val="single" w:color="000000" w:sz="2" w:space="0"/>
            </w:tcBorders>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53" w:type="dxa"/>
            <w:vMerge w:val="continue"/>
            <w:tcBorders>
              <w:top w:val="nil"/>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83"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在职人员控制率</w:t>
            </w:r>
          </w:p>
        </w:tc>
        <w:tc>
          <w:tcPr>
            <w:tcW w:w="91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2" w:space="0"/>
              <w:bottom w:val="single" w:color="000000" w:sz="2"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在职人员控制率=(在职人员数/编制数)×100%。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在职人员数:部门(单位)实际在职人数，以财政部确定的部门决算编制口径为准。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编制数:机构编制部门核定批复的部门(单位)的人员编制数。</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1.比率≤100%，得满分；</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2.比率&gt;100%，每增加1%，扣5%的权重分，扣完为止。</w:t>
            </w:r>
          </w:p>
        </w:tc>
        <w:tc>
          <w:tcPr>
            <w:tcW w:w="1091"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tcBorders>
              <w:top w:val="single" w:color="000000" w:sz="2" w:space="0"/>
              <w:bottom w:val="single" w:color="000000" w:sz="2"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bl>
    <w:p>
      <w:pPr>
        <w:widowControl w:val="0"/>
        <w:kinsoku/>
        <w:autoSpaceDE/>
        <w:autoSpaceDN/>
        <w:spacing w:line="240" w:lineRule="exact"/>
        <w:jc w:val="center"/>
        <w:textAlignment w:val="auto"/>
        <w:rPr>
          <w:rFonts w:ascii="宋体" w:hAnsi="宋体" w:eastAsia="宋体" w:cs="宋体"/>
          <w:snapToGrid/>
          <w:color w:val="auto"/>
          <w:spacing w:val="-12"/>
          <w:kern w:val="2"/>
        </w:rPr>
        <w:sectPr>
          <w:pgSz w:w="11905" w:h="16840"/>
          <w:pgMar w:top="1075" w:right="804" w:bottom="400" w:left="619" w:header="0" w:footer="0" w:gutter="0"/>
          <w:pgBorders>
            <w:top w:val="none" w:sz="0" w:space="0"/>
            <w:left w:val="none" w:sz="0" w:space="0"/>
            <w:bottom w:val="none" w:sz="0" w:space="0"/>
            <w:right w:val="none" w:sz="0" w:space="0"/>
          </w:pgBorders>
          <w:cols w:space="720" w:num="1"/>
        </w:sectPr>
      </w:pPr>
    </w:p>
    <w:tbl>
      <w:tblPr>
        <w:tblStyle w:val="4"/>
        <w:tblW w:w="104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6"/>
        <w:gridCol w:w="768"/>
        <w:gridCol w:w="739"/>
        <w:gridCol w:w="984"/>
        <w:gridCol w:w="906"/>
        <w:gridCol w:w="681"/>
        <w:gridCol w:w="3577"/>
        <w:gridCol w:w="1091"/>
        <w:gridCol w:w="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jc w:val="center"/>
        </w:trPr>
        <w:tc>
          <w:tcPr>
            <w:tcW w:w="1036"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过程（26）</w:t>
            </w:r>
          </w:p>
        </w:tc>
        <w:tc>
          <w:tcPr>
            <w:tcW w:w="1507" w:type="dxa"/>
            <w:gridSpan w:val="2"/>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机构建设(3)</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组织建设工作及时完成率</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4" w:space="0"/>
              <w:bottom w:val="single" w:color="000000" w:sz="4"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组织建设工作完成率=(实际及时完成的组织建设工作数/计划组织建设工作数)×100%。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hint="eastAsia" w:ascii="宋体" w:hAnsi="宋体" w:eastAsia="宋体" w:cs="宋体"/>
                <w:snapToGrid/>
                <w:color w:val="auto"/>
                <w:spacing w:val="-12"/>
                <w:kern w:val="2"/>
                <w:sz w:val="20"/>
              </w:rPr>
              <w:t>评分规则:得分=组织建设工作完成率×分值。</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业务学习与培训及时完成率</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4" w:space="0"/>
              <w:bottom w:val="single" w:color="000000" w:sz="4"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业务学习与培训及时完成率=(实际及时完成的业务学习与培训数/计划业务学习与培训数)×100%。</w:t>
            </w:r>
          </w:p>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评分规则:得分=业务学习与培训及时完成率×分值。</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100%</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2"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纪检监察工作有效性</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有效</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w:t>
            </w:r>
          </w:p>
        </w:tc>
        <w:tc>
          <w:tcPr>
            <w:tcW w:w="3577" w:type="dxa"/>
            <w:tcBorders>
              <w:top w:val="single" w:color="000000" w:sz="4" w:space="0"/>
              <w:bottom w:val="single" w:color="000000" w:sz="4" w:space="0"/>
            </w:tcBorders>
            <w:vAlign w:val="center"/>
          </w:tcPr>
          <w:p>
            <w:pPr>
              <w:widowControl w:val="0"/>
              <w:kinsoku/>
              <w:autoSpaceDE/>
              <w:autoSpaceDN/>
              <w:spacing w:line="240" w:lineRule="exact"/>
              <w:textAlignment w:val="auto"/>
              <w:rPr>
                <w:rFonts w:ascii="宋体" w:hAnsi="宋体" w:eastAsia="宋体" w:cs="宋体"/>
                <w:snapToGrid/>
                <w:color w:val="auto"/>
                <w:spacing w:val="-12"/>
                <w:kern w:val="2"/>
                <w:sz w:val="20"/>
              </w:rPr>
            </w:pPr>
            <w:r>
              <w:rPr>
                <w:rFonts w:ascii="宋体" w:hAnsi="宋体" w:eastAsia="宋体" w:cs="宋体"/>
                <w:snapToGrid/>
                <w:color w:val="auto"/>
                <w:spacing w:val="-12"/>
                <w:kern w:val="2"/>
                <w:sz w:val="20"/>
              </w:rPr>
              <w:t>评价要点:①纪检监督工作实施程序规范、相关资料完整；②纪检监督结果切实运用。评分规则:以上评价要点各占1/2分值，每个要点执行情况分为达成、部分达成、未达成三档，分别按分值的100%-80%(含)、80%-60%(含)、60%-0%合理确定分值。</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有效</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03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一级指标</w:t>
            </w:r>
          </w:p>
        </w:tc>
        <w:tc>
          <w:tcPr>
            <w:tcW w:w="76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二级指标</w:t>
            </w:r>
          </w:p>
        </w:tc>
        <w:tc>
          <w:tcPr>
            <w:tcW w:w="739"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重点工作</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三级指标</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全年指标值</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分值</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评价要点及评分规则</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实际完成值</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ascii="宋体" w:hAnsi="宋体" w:eastAsia="宋体" w:cs="宋体"/>
                <w:snapToGrid/>
                <w:color w:val="auto"/>
                <w:spacing w:val="-12"/>
                <w:kern w:val="2"/>
              </w:rPr>
              <w:t>履职</w:t>
            </w:r>
            <w:r>
              <w:rPr>
                <w:rFonts w:hint="eastAsia" w:ascii="宋体" w:hAnsi="宋体" w:eastAsia="宋体" w:cs="宋体"/>
                <w:snapToGrid/>
                <w:color w:val="auto"/>
                <w:spacing w:val="-12"/>
                <w:kern w:val="2"/>
                <w:lang w:eastAsia="zh-CN"/>
              </w:rPr>
              <w:t>（</w:t>
            </w:r>
            <w:r>
              <w:rPr>
                <w:rFonts w:hint="eastAsia" w:ascii="宋体" w:hAnsi="宋体" w:eastAsia="宋体" w:cs="宋体"/>
                <w:snapToGrid/>
                <w:color w:val="auto"/>
                <w:spacing w:val="-12"/>
                <w:kern w:val="2"/>
                <w:lang w:val="en-US" w:eastAsia="zh-CN"/>
              </w:rPr>
              <w:t>30</w:t>
            </w:r>
            <w:r>
              <w:rPr>
                <w:rFonts w:hint="eastAsia" w:ascii="宋体" w:hAnsi="宋体" w:eastAsia="宋体" w:cs="宋体"/>
                <w:snapToGrid/>
                <w:color w:val="auto"/>
                <w:spacing w:val="-12"/>
                <w:kern w:val="2"/>
                <w:lang w:eastAsia="zh-CN"/>
              </w:rPr>
              <w:t>）</w:t>
            </w:r>
          </w:p>
        </w:tc>
        <w:tc>
          <w:tcPr>
            <w:tcW w:w="768"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承担国家级非遗项目</w:t>
            </w:r>
            <w:r>
              <w:rPr>
                <w:rFonts w:hint="eastAsia" w:ascii="宋体" w:hAnsi="宋体" w:eastAsia="宋体" w:cs="宋体"/>
                <w:snapToGrid/>
                <w:color w:val="auto"/>
                <w:spacing w:val="-12"/>
                <w:kern w:val="2"/>
                <w:lang w:val="en-US" w:eastAsia="zh-CN"/>
              </w:rPr>
              <w:t>-杖头木偶的保护、传承与发展，承担木偶剧目创排与演出，培养木偶制作、演出人才、打造木偶剧传承梯队</w:t>
            </w:r>
          </w:p>
        </w:tc>
        <w:tc>
          <w:tcPr>
            <w:tcW w:w="739"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加工大型木偶剧《哪吒传奇》</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加工创排木偶剧</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1部</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项目实际加工创排木偶剧目与计划创排的比较，用以反映和考核创排数量目标和实现程度。评价规则：年度完成加工创排木偶剧目</w:t>
            </w:r>
            <w:r>
              <w:rPr>
                <w:rFonts w:hint="eastAsia" w:ascii="宋体" w:hAnsi="宋体" w:eastAsia="宋体" w:cs="宋体"/>
                <w:snapToGrid/>
                <w:color w:val="auto"/>
                <w:spacing w:val="-12"/>
                <w:kern w:val="2"/>
                <w:lang w:val="en-US" w:eastAsia="zh-CN"/>
              </w:rPr>
              <w:t>1部即为完成指标，未完成创排指标得0分。</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完成</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restart"/>
            <w:tcBorders>
              <w:top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参加第六届木偶皮影优秀剧目展演</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演出场次</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20场</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演出场次</w:t>
            </w:r>
            <w:r>
              <w:rPr>
                <w:rFonts w:hint="eastAsia" w:ascii="宋体" w:hAnsi="宋体" w:eastAsia="宋体" w:cs="宋体"/>
                <w:snapToGrid/>
                <w:color w:val="auto"/>
                <w:spacing w:val="-12"/>
                <w:kern w:val="2"/>
              </w:rPr>
              <w:t>数的比较用以反映和考核项目产出数量目标和实现程度。  评分规则:</w:t>
            </w:r>
            <w:r>
              <w:rPr>
                <w:rFonts w:hint="eastAsia" w:ascii="宋体" w:hAnsi="宋体" w:eastAsia="宋体" w:cs="宋体"/>
                <w:snapToGrid/>
                <w:color w:val="auto"/>
                <w:spacing w:val="-12"/>
                <w:kern w:val="2"/>
                <w:lang w:val="en-US" w:eastAsia="zh-CN"/>
              </w:rPr>
              <w:t>演出场次</w:t>
            </w:r>
            <w:r>
              <w:rPr>
                <w:rFonts w:hint="eastAsia" w:ascii="宋体" w:hAnsi="宋体" w:eastAsia="宋体" w:cs="宋体"/>
                <w:snapToGrid/>
                <w:color w:val="auto"/>
                <w:spacing w:val="-12"/>
                <w:kern w:val="2"/>
              </w:rPr>
              <w:t>数≥</w:t>
            </w:r>
            <w:r>
              <w:rPr>
                <w:rFonts w:hint="eastAsia" w:ascii="宋体" w:hAnsi="宋体" w:eastAsia="宋体" w:cs="宋体"/>
                <w:snapToGrid/>
                <w:color w:val="auto"/>
                <w:spacing w:val="-12"/>
                <w:kern w:val="2"/>
                <w:lang w:val="en-US" w:eastAsia="zh-CN"/>
              </w:rPr>
              <w:t>36</w:t>
            </w:r>
            <w:r>
              <w:rPr>
                <w:rFonts w:hint="eastAsia" w:ascii="宋体" w:hAnsi="宋体" w:eastAsia="宋体" w:cs="宋体"/>
                <w:snapToGrid/>
                <w:color w:val="auto"/>
                <w:spacing w:val="-12"/>
                <w:kern w:val="2"/>
              </w:rPr>
              <w:t>场即为完成年度指标,当年度指标&lt;</w:t>
            </w:r>
            <w:r>
              <w:rPr>
                <w:rFonts w:hint="eastAsia" w:ascii="宋体" w:hAnsi="宋体" w:eastAsia="宋体" w:cs="宋体"/>
                <w:snapToGrid/>
                <w:color w:val="auto"/>
                <w:spacing w:val="-12"/>
                <w:kern w:val="2"/>
                <w:lang w:val="en-US" w:eastAsia="zh-CN"/>
              </w:rPr>
              <w:t>36</w:t>
            </w:r>
            <w:r>
              <w:rPr>
                <w:rFonts w:hint="eastAsia" w:ascii="宋体" w:hAnsi="宋体" w:eastAsia="宋体" w:cs="宋体"/>
                <w:snapToGrid/>
                <w:color w:val="auto"/>
                <w:spacing w:val="-12"/>
                <w:kern w:val="2"/>
              </w:rPr>
              <w:t>场时,每减少1%,扣1%的权重分,扣完为止</w:t>
            </w:r>
            <w:r>
              <w:rPr>
                <w:rFonts w:hint="eastAsia" w:ascii="宋体" w:hAnsi="宋体" w:eastAsia="宋体" w:cs="宋体"/>
                <w:snapToGrid/>
                <w:color w:val="auto"/>
                <w:spacing w:val="-12"/>
                <w:kern w:val="2"/>
                <w:lang w:eastAsia="zh-CN"/>
              </w:rPr>
              <w:t>。</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24场</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continue"/>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演出剧目</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30个</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val="en-US" w:eastAsia="zh-CN"/>
              </w:rPr>
              <w:t>演出剧目</w:t>
            </w:r>
            <w:r>
              <w:rPr>
                <w:rFonts w:hint="eastAsia" w:ascii="宋体" w:hAnsi="宋体" w:eastAsia="宋体" w:cs="宋体"/>
                <w:snapToGrid/>
                <w:color w:val="auto"/>
                <w:spacing w:val="-12"/>
                <w:kern w:val="2"/>
              </w:rPr>
              <w:t>的比较用以反映和考核项目产出数量目标和实现程度。  评分规则:</w:t>
            </w:r>
            <w:r>
              <w:rPr>
                <w:rFonts w:hint="eastAsia" w:ascii="宋体" w:hAnsi="宋体" w:eastAsia="宋体" w:cs="宋体"/>
                <w:snapToGrid/>
                <w:color w:val="auto"/>
                <w:spacing w:val="-12"/>
                <w:kern w:val="2"/>
                <w:lang w:val="en-US" w:eastAsia="zh-CN"/>
              </w:rPr>
              <w:t>公益性演出剧目</w:t>
            </w:r>
            <w:r>
              <w:rPr>
                <w:rFonts w:hint="eastAsia" w:ascii="宋体" w:hAnsi="宋体" w:eastAsia="宋体" w:cs="宋体"/>
                <w:snapToGrid/>
                <w:color w:val="auto"/>
                <w:spacing w:val="-12"/>
                <w:kern w:val="2"/>
              </w:rPr>
              <w:t>数≥</w:t>
            </w:r>
            <w:r>
              <w:rPr>
                <w:rFonts w:hint="eastAsia" w:ascii="宋体" w:hAnsi="宋体" w:eastAsia="宋体" w:cs="宋体"/>
                <w:snapToGrid/>
                <w:color w:val="auto"/>
                <w:spacing w:val="-12"/>
                <w:kern w:val="2"/>
                <w:lang w:val="en-US" w:eastAsia="zh-CN"/>
              </w:rPr>
              <w:t>30个</w:t>
            </w:r>
            <w:r>
              <w:rPr>
                <w:rFonts w:hint="eastAsia" w:ascii="宋体" w:hAnsi="宋体" w:eastAsia="宋体" w:cs="宋体"/>
                <w:snapToGrid/>
                <w:color w:val="auto"/>
                <w:spacing w:val="-12"/>
                <w:kern w:val="2"/>
              </w:rPr>
              <w:t>即为完成年度指标,当年度指标&lt;</w:t>
            </w:r>
            <w:r>
              <w:rPr>
                <w:rFonts w:hint="eastAsia" w:ascii="宋体" w:hAnsi="宋体" w:eastAsia="宋体" w:cs="宋体"/>
                <w:snapToGrid/>
                <w:color w:val="auto"/>
                <w:spacing w:val="-12"/>
                <w:kern w:val="2"/>
                <w:lang w:val="en-US" w:eastAsia="zh-CN"/>
              </w:rPr>
              <w:t>30个</w:t>
            </w:r>
            <w:r>
              <w:rPr>
                <w:rFonts w:hint="eastAsia" w:ascii="宋体" w:hAnsi="宋体" w:eastAsia="宋体" w:cs="宋体"/>
                <w:snapToGrid/>
                <w:color w:val="auto"/>
                <w:spacing w:val="-12"/>
                <w:kern w:val="2"/>
              </w:rPr>
              <w:t>时,每减少1%,扣1%的权重分,扣完为止</w:t>
            </w:r>
            <w:r>
              <w:rPr>
                <w:rFonts w:hint="eastAsia" w:ascii="宋体" w:hAnsi="宋体" w:eastAsia="宋体" w:cs="宋体"/>
                <w:snapToGrid/>
                <w:color w:val="auto"/>
                <w:spacing w:val="-12"/>
                <w:kern w:val="2"/>
                <w:lang w:eastAsia="zh-CN"/>
              </w:rPr>
              <w:t>。</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31个</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continue"/>
            <w:tcBorders>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荣获奖项</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6个</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项目实际获得奖项与计划奖项的比较，用以反映和考核项目实现程度。评分规则：项目实际取得结项≥</w:t>
            </w:r>
            <w:r>
              <w:rPr>
                <w:rFonts w:hint="eastAsia" w:ascii="宋体" w:hAnsi="宋体" w:eastAsia="宋体" w:cs="宋体"/>
                <w:snapToGrid/>
                <w:color w:val="auto"/>
                <w:spacing w:val="-12"/>
                <w:kern w:val="2"/>
                <w:lang w:val="en-US" w:eastAsia="zh-CN"/>
              </w:rPr>
              <w:t>1个即为完成你当年指标，未获得奖项，得分为0。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31个</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国家大剧院演出</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演出《哪吒传奇》</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项目实际完成情况与计划完成情况的比较，评分规则：项目实际完成得</w:t>
            </w:r>
            <w:r>
              <w:rPr>
                <w:rFonts w:hint="eastAsia" w:ascii="宋体" w:hAnsi="宋体" w:eastAsia="宋体" w:cs="宋体"/>
                <w:snapToGrid/>
                <w:color w:val="auto"/>
                <w:spacing w:val="-12"/>
                <w:kern w:val="2"/>
                <w:lang w:val="en-US" w:eastAsia="zh-CN"/>
              </w:rPr>
              <w:t>2分，未完成，得分为0。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未完成</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推动公共文化事业发展，推进全市公共文化服务体系建设，深入实施文化惠民工程</w:t>
            </w:r>
          </w:p>
        </w:tc>
        <w:tc>
          <w:tcPr>
            <w:tcW w:w="739"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宣传文化发展专项</w:t>
            </w:r>
            <w:r>
              <w:rPr>
                <w:rFonts w:hint="eastAsia" w:ascii="宋体" w:hAnsi="宋体" w:eastAsia="宋体" w:cs="宋体"/>
                <w:snapToGrid/>
                <w:color w:val="auto"/>
                <w:spacing w:val="-12"/>
                <w:kern w:val="2"/>
                <w:lang w:val="en-US" w:eastAsia="zh-CN"/>
              </w:rPr>
              <w:t>-送戏进社区</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公益演出场次</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w:t>
            </w:r>
            <w:r>
              <w:rPr>
                <w:rFonts w:hint="eastAsia" w:ascii="宋体" w:hAnsi="宋体" w:eastAsia="宋体" w:cs="宋体"/>
                <w:snapToGrid/>
                <w:color w:val="auto"/>
                <w:spacing w:val="-12"/>
                <w:kern w:val="2"/>
                <w:lang w:val="en-US" w:eastAsia="zh-CN"/>
              </w:rPr>
              <w:t>36场</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val="en-US" w:eastAsia="zh-CN"/>
              </w:rPr>
              <w:t>公益性演出场次</w:t>
            </w:r>
            <w:r>
              <w:rPr>
                <w:rFonts w:hint="eastAsia" w:ascii="宋体" w:hAnsi="宋体" w:eastAsia="宋体" w:cs="宋体"/>
                <w:snapToGrid/>
                <w:color w:val="auto"/>
                <w:spacing w:val="-12"/>
                <w:kern w:val="2"/>
              </w:rPr>
              <w:t>数的比较用以反映和考核项目产出数量目标和实现程度。  评分规则:</w:t>
            </w:r>
            <w:r>
              <w:rPr>
                <w:rFonts w:hint="eastAsia" w:ascii="宋体" w:hAnsi="宋体" w:eastAsia="宋体" w:cs="宋体"/>
                <w:snapToGrid/>
                <w:color w:val="auto"/>
                <w:spacing w:val="-12"/>
                <w:kern w:val="2"/>
                <w:lang w:val="en-US" w:eastAsia="zh-CN"/>
              </w:rPr>
              <w:t>公益性演出场次</w:t>
            </w:r>
            <w:r>
              <w:rPr>
                <w:rFonts w:hint="eastAsia" w:ascii="宋体" w:hAnsi="宋体" w:eastAsia="宋体" w:cs="宋体"/>
                <w:snapToGrid/>
                <w:color w:val="auto"/>
                <w:spacing w:val="-12"/>
                <w:kern w:val="2"/>
              </w:rPr>
              <w:t>数≥</w:t>
            </w:r>
            <w:r>
              <w:rPr>
                <w:rFonts w:hint="eastAsia" w:ascii="宋体" w:hAnsi="宋体" w:eastAsia="宋体" w:cs="宋体"/>
                <w:snapToGrid/>
                <w:color w:val="auto"/>
                <w:spacing w:val="-12"/>
                <w:kern w:val="2"/>
                <w:lang w:val="en-US" w:eastAsia="zh-CN"/>
              </w:rPr>
              <w:t>36</w:t>
            </w:r>
            <w:r>
              <w:rPr>
                <w:rFonts w:hint="eastAsia" w:ascii="宋体" w:hAnsi="宋体" w:eastAsia="宋体" w:cs="宋体"/>
                <w:snapToGrid/>
                <w:color w:val="auto"/>
                <w:spacing w:val="-12"/>
                <w:kern w:val="2"/>
              </w:rPr>
              <w:t>场即为完成年度指标,当年度指标&lt;</w:t>
            </w:r>
            <w:r>
              <w:rPr>
                <w:rFonts w:hint="eastAsia" w:ascii="宋体" w:hAnsi="宋体" w:eastAsia="宋体" w:cs="宋体"/>
                <w:snapToGrid/>
                <w:color w:val="auto"/>
                <w:spacing w:val="-12"/>
                <w:kern w:val="2"/>
                <w:lang w:val="en-US" w:eastAsia="zh-CN"/>
              </w:rPr>
              <w:t>36</w:t>
            </w:r>
            <w:r>
              <w:rPr>
                <w:rFonts w:hint="eastAsia" w:ascii="宋体" w:hAnsi="宋体" w:eastAsia="宋体" w:cs="宋体"/>
                <w:snapToGrid/>
                <w:color w:val="auto"/>
                <w:spacing w:val="-12"/>
                <w:kern w:val="2"/>
              </w:rPr>
              <w:t>场时,每减少1%,扣1%的权重分,扣完为止</w:t>
            </w:r>
            <w:r>
              <w:rPr>
                <w:rFonts w:hint="eastAsia" w:ascii="宋体" w:hAnsi="宋体" w:eastAsia="宋体" w:cs="宋体"/>
                <w:snapToGrid/>
                <w:color w:val="auto"/>
                <w:spacing w:val="-12"/>
                <w:kern w:val="2"/>
                <w:lang w:eastAsia="zh-CN"/>
              </w:rPr>
              <w:t>。</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36场</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公益演出剧目</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w:t>
            </w:r>
            <w:r>
              <w:rPr>
                <w:rFonts w:hint="eastAsia" w:ascii="宋体" w:hAnsi="宋体" w:eastAsia="宋体" w:cs="宋体"/>
                <w:snapToGrid/>
                <w:color w:val="auto"/>
                <w:spacing w:val="-12"/>
                <w:kern w:val="2"/>
                <w:lang w:val="en-US" w:eastAsia="zh-CN"/>
              </w:rPr>
              <w:t>8个</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实际</w:t>
            </w:r>
            <w:r>
              <w:rPr>
                <w:rFonts w:hint="eastAsia" w:ascii="宋体" w:hAnsi="宋体" w:eastAsia="宋体" w:cs="宋体"/>
                <w:snapToGrid/>
                <w:color w:val="auto"/>
                <w:spacing w:val="-12"/>
                <w:kern w:val="2"/>
                <w:lang w:val="en-US" w:eastAsia="zh-CN"/>
              </w:rPr>
              <w:t>公益性</w:t>
            </w:r>
            <w:r>
              <w:rPr>
                <w:rFonts w:hint="eastAsia" w:ascii="宋体" w:hAnsi="宋体" w:eastAsia="宋体" w:cs="宋体"/>
                <w:snapToGrid/>
                <w:color w:val="auto"/>
                <w:spacing w:val="-12"/>
                <w:kern w:val="2"/>
              </w:rPr>
              <w:t>演出剧目数和预期演出剧目数相比较，用以反映和考核项目产出数量目标和实现程度。  评分规则:</w:t>
            </w:r>
            <w:r>
              <w:rPr>
                <w:rFonts w:hint="eastAsia" w:ascii="宋体" w:hAnsi="宋体" w:eastAsia="宋体" w:cs="宋体"/>
                <w:snapToGrid/>
                <w:color w:val="auto"/>
                <w:spacing w:val="-12"/>
                <w:kern w:val="2"/>
                <w:lang w:val="en-US" w:eastAsia="zh-CN"/>
              </w:rPr>
              <w:t>公益性</w:t>
            </w:r>
            <w:r>
              <w:rPr>
                <w:rFonts w:hint="eastAsia" w:ascii="宋体" w:hAnsi="宋体" w:eastAsia="宋体" w:cs="宋体"/>
                <w:snapToGrid/>
                <w:color w:val="auto"/>
                <w:spacing w:val="-12"/>
                <w:kern w:val="2"/>
              </w:rPr>
              <w:t>演出剧目数≥</w:t>
            </w:r>
            <w:r>
              <w:rPr>
                <w:rFonts w:hint="eastAsia" w:ascii="宋体" w:hAnsi="宋体" w:eastAsia="宋体" w:cs="宋体"/>
                <w:snapToGrid/>
                <w:color w:val="auto"/>
                <w:spacing w:val="-12"/>
                <w:kern w:val="2"/>
                <w:lang w:val="en-US" w:eastAsia="zh-CN"/>
              </w:rPr>
              <w:t>8</w:t>
            </w:r>
            <w:r>
              <w:rPr>
                <w:rFonts w:hint="eastAsia" w:ascii="宋体" w:hAnsi="宋体" w:eastAsia="宋体" w:cs="宋体"/>
                <w:snapToGrid/>
                <w:color w:val="auto"/>
                <w:spacing w:val="-12"/>
                <w:kern w:val="2"/>
              </w:rPr>
              <w:t>个，即为完成年度指标,当年度指标＜</w:t>
            </w:r>
            <w:r>
              <w:rPr>
                <w:rFonts w:hint="eastAsia" w:ascii="宋体" w:hAnsi="宋体" w:eastAsia="宋体" w:cs="宋体"/>
                <w:snapToGrid/>
                <w:color w:val="auto"/>
                <w:spacing w:val="-12"/>
                <w:kern w:val="2"/>
                <w:lang w:val="en-US" w:eastAsia="zh-CN"/>
              </w:rPr>
              <w:t>8</w:t>
            </w:r>
            <w:r>
              <w:rPr>
                <w:rFonts w:hint="eastAsia" w:ascii="宋体" w:hAnsi="宋体" w:eastAsia="宋体" w:cs="宋体"/>
                <w:snapToGrid/>
                <w:color w:val="auto"/>
                <w:spacing w:val="-12"/>
                <w:kern w:val="2"/>
              </w:rPr>
              <w:t>个时,每减少1%,扣1%的权重分,扣完为止。</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8个</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restart"/>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公益演出计划完成时效性</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及时</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演出计划实际完成时间与预计完成时间的比较，用以反映和考核项目产出时效目标的实现程度。</w:t>
            </w:r>
            <w:r>
              <w:rPr>
                <w:rFonts w:hint="eastAsia" w:ascii="宋体" w:hAnsi="宋体" w:eastAsia="宋体" w:cs="宋体"/>
                <w:snapToGrid/>
                <w:color w:val="auto"/>
                <w:spacing w:val="-12"/>
                <w:kern w:val="2"/>
              </w:rPr>
              <w:t>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及时</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公益演出观众人数</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eastAsia="zh-CN"/>
              </w:rPr>
              <w:t>≥</w:t>
            </w:r>
            <w:r>
              <w:rPr>
                <w:rFonts w:hint="eastAsia" w:ascii="宋体" w:hAnsi="宋体" w:eastAsia="宋体" w:cs="宋体"/>
                <w:snapToGrid/>
                <w:color w:val="auto"/>
                <w:spacing w:val="-12"/>
                <w:kern w:val="2"/>
                <w:lang w:val="en-US" w:eastAsia="zh-CN"/>
              </w:rPr>
              <w:t>8000人</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实际观众数与年初预计观众数的比较用以反映和考核项目产出数量目标和实现程度。评分规则:观众人数≥</w:t>
            </w:r>
            <w:r>
              <w:rPr>
                <w:rFonts w:hint="eastAsia" w:ascii="宋体" w:hAnsi="宋体" w:eastAsia="宋体" w:cs="宋体"/>
                <w:snapToGrid/>
                <w:color w:val="auto"/>
                <w:spacing w:val="-12"/>
                <w:kern w:val="2"/>
                <w:lang w:val="en-US" w:eastAsia="zh-CN"/>
              </w:rPr>
              <w:t>8000</w:t>
            </w:r>
            <w:r>
              <w:rPr>
                <w:rFonts w:hint="eastAsia" w:ascii="宋体" w:hAnsi="宋体" w:eastAsia="宋体" w:cs="宋体"/>
                <w:snapToGrid/>
                <w:color w:val="auto"/>
                <w:spacing w:val="-12"/>
                <w:kern w:val="2"/>
              </w:rPr>
              <w:t>人即为完成年度指标,当年度指标</w:t>
            </w:r>
            <w:r>
              <w:rPr>
                <w:rFonts w:hint="eastAsia" w:ascii="宋体" w:hAnsi="宋体" w:eastAsia="宋体" w:cs="宋体"/>
                <w:snapToGrid/>
                <w:color w:val="auto"/>
                <w:spacing w:val="-12"/>
                <w:kern w:val="2"/>
                <w:lang w:val="en-US" w:eastAsia="zh-CN"/>
              </w:rPr>
              <w:t>不达</w:t>
            </w:r>
            <w:r>
              <w:rPr>
                <w:rFonts w:hint="eastAsia" w:ascii="宋体" w:hAnsi="宋体" w:eastAsia="宋体" w:cs="宋体"/>
                <w:snapToGrid/>
                <w:color w:val="auto"/>
                <w:spacing w:val="-12"/>
                <w:kern w:val="2"/>
              </w:rPr>
              <w:t>标&lt;</w:t>
            </w:r>
            <w:r>
              <w:rPr>
                <w:rFonts w:hint="eastAsia" w:ascii="宋体" w:hAnsi="宋体" w:eastAsia="宋体" w:cs="宋体"/>
                <w:snapToGrid/>
                <w:color w:val="auto"/>
                <w:spacing w:val="-12"/>
                <w:kern w:val="2"/>
                <w:lang w:val="en-US" w:eastAsia="zh-CN"/>
              </w:rPr>
              <w:t>8000</w:t>
            </w:r>
            <w:r>
              <w:rPr>
                <w:rFonts w:hint="eastAsia" w:ascii="宋体" w:hAnsi="宋体" w:eastAsia="宋体" w:cs="宋体"/>
                <w:snapToGrid/>
                <w:color w:val="auto"/>
                <w:spacing w:val="-12"/>
                <w:kern w:val="2"/>
              </w:rPr>
              <w:t>人时,每减少1%,扣1%的权重分,扣完为止。</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8000人</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4</w:t>
            </w:r>
          </w:p>
        </w:tc>
        <w:tc>
          <w:tcPr>
            <w:tcW w:w="768"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739"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全年演出场次</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both"/>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全年实际演出场次</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200场</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全年演出场次</w:t>
            </w:r>
            <w:r>
              <w:rPr>
                <w:rFonts w:hint="eastAsia" w:ascii="宋体" w:hAnsi="宋体" w:eastAsia="宋体" w:cs="宋体"/>
                <w:snapToGrid/>
                <w:color w:val="auto"/>
                <w:spacing w:val="-12"/>
                <w:kern w:val="2"/>
              </w:rPr>
              <w:t>数</w:t>
            </w:r>
            <w:r>
              <w:rPr>
                <w:rFonts w:hint="eastAsia" w:ascii="宋体" w:hAnsi="宋体" w:eastAsia="宋体" w:cs="宋体"/>
                <w:snapToGrid/>
                <w:color w:val="auto"/>
                <w:spacing w:val="-12"/>
                <w:kern w:val="2"/>
                <w:lang w:eastAsia="zh-CN"/>
              </w:rPr>
              <w:t>与计划演出场次</w:t>
            </w:r>
            <w:r>
              <w:rPr>
                <w:rFonts w:hint="eastAsia" w:ascii="宋体" w:hAnsi="宋体" w:eastAsia="宋体" w:cs="宋体"/>
                <w:snapToGrid/>
                <w:color w:val="auto"/>
                <w:spacing w:val="-12"/>
                <w:kern w:val="2"/>
              </w:rPr>
              <w:t>的比较用以反映和考核项目产出数量目标和实现程度。  评分规则:</w:t>
            </w:r>
            <w:r>
              <w:rPr>
                <w:rFonts w:hint="eastAsia" w:ascii="宋体" w:hAnsi="宋体" w:eastAsia="宋体" w:cs="宋体"/>
                <w:snapToGrid/>
                <w:color w:val="auto"/>
                <w:spacing w:val="-12"/>
                <w:kern w:val="2"/>
                <w:lang w:val="en-US" w:eastAsia="zh-CN"/>
              </w:rPr>
              <w:t>演出场次</w:t>
            </w:r>
            <w:r>
              <w:rPr>
                <w:rFonts w:hint="eastAsia" w:ascii="宋体" w:hAnsi="宋体" w:eastAsia="宋体" w:cs="宋体"/>
                <w:snapToGrid/>
                <w:color w:val="auto"/>
                <w:spacing w:val="-12"/>
                <w:kern w:val="2"/>
              </w:rPr>
              <w:t>数≥</w:t>
            </w:r>
            <w:r>
              <w:rPr>
                <w:rFonts w:hint="eastAsia" w:ascii="宋体" w:hAnsi="宋体" w:eastAsia="宋体" w:cs="宋体"/>
                <w:snapToGrid/>
                <w:color w:val="auto"/>
                <w:spacing w:val="-12"/>
                <w:kern w:val="2"/>
                <w:lang w:val="en-US" w:eastAsia="zh-CN"/>
              </w:rPr>
              <w:t>200</w:t>
            </w:r>
            <w:r>
              <w:rPr>
                <w:rFonts w:hint="eastAsia" w:ascii="宋体" w:hAnsi="宋体" w:eastAsia="宋体" w:cs="宋体"/>
                <w:snapToGrid/>
                <w:color w:val="auto"/>
                <w:spacing w:val="-12"/>
                <w:kern w:val="2"/>
              </w:rPr>
              <w:t>场即为完成年度指标,当年度指标&lt;</w:t>
            </w:r>
            <w:r>
              <w:rPr>
                <w:rFonts w:hint="eastAsia" w:ascii="宋体" w:hAnsi="宋体" w:eastAsia="宋体" w:cs="宋体"/>
                <w:snapToGrid/>
                <w:color w:val="auto"/>
                <w:spacing w:val="-12"/>
                <w:kern w:val="2"/>
                <w:lang w:val="en-US" w:eastAsia="zh-CN"/>
              </w:rPr>
              <w:t>200</w:t>
            </w:r>
            <w:r>
              <w:rPr>
                <w:rFonts w:hint="eastAsia" w:ascii="宋体" w:hAnsi="宋体" w:eastAsia="宋体" w:cs="宋体"/>
                <w:snapToGrid/>
                <w:color w:val="auto"/>
                <w:spacing w:val="-12"/>
                <w:kern w:val="2"/>
              </w:rPr>
              <w:t>场时,每减少1%,扣1%的权重分,扣完为止</w:t>
            </w:r>
            <w:r>
              <w:rPr>
                <w:rFonts w:hint="eastAsia" w:ascii="宋体" w:hAnsi="宋体" w:eastAsia="宋体" w:cs="宋体"/>
                <w:snapToGrid/>
                <w:color w:val="auto"/>
                <w:spacing w:val="-12"/>
                <w:kern w:val="2"/>
                <w:lang w:val="en-US" w:eastAsia="zh-CN"/>
              </w:rPr>
              <w:t>.</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660场</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效益</w:t>
            </w:r>
          </w:p>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(28)</w:t>
            </w:r>
          </w:p>
        </w:tc>
        <w:tc>
          <w:tcPr>
            <w:tcW w:w="1507" w:type="dxa"/>
            <w:gridSpan w:val="2"/>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经济效益</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演出收入</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提高</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年度演出收入</w:t>
            </w:r>
            <w:r>
              <w:rPr>
                <w:rFonts w:hint="eastAsia" w:ascii="宋体" w:hAnsi="宋体" w:eastAsia="宋体" w:cs="宋体"/>
                <w:snapToGrid/>
                <w:color w:val="auto"/>
                <w:spacing w:val="-12"/>
                <w:kern w:val="2"/>
                <w:lang w:val="en-US" w:eastAsia="zh-CN"/>
              </w:rPr>
              <w:t>是否较上年有所提高</w:t>
            </w:r>
            <w:r>
              <w:rPr>
                <w:rFonts w:hint="eastAsia" w:ascii="宋体" w:hAnsi="宋体" w:eastAsia="宋体" w:cs="宋体"/>
                <w:snapToGrid/>
                <w:color w:val="auto"/>
                <w:spacing w:val="-12"/>
                <w:kern w:val="2"/>
              </w:rPr>
              <w:t>。 评分规则:达成年度指标100%-80%(含); 部分达成年度指标并具有一定效果80%-60%(含); 未达成年度指标且效果较差60%-0%</w:t>
            </w:r>
            <w:r>
              <w:rPr>
                <w:rFonts w:hint="eastAsia" w:ascii="宋体" w:hAnsi="宋体" w:eastAsia="宋体" w:cs="宋体"/>
                <w:snapToGrid/>
                <w:color w:val="auto"/>
                <w:spacing w:val="-12"/>
                <w:kern w:val="2"/>
                <w:lang w:val="en-US" w:eastAsia="zh-CN"/>
              </w:rPr>
              <w:t>6</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eastAsia="zh-CN"/>
              </w:rPr>
            </w:pPr>
            <w:r>
              <w:rPr>
                <w:rFonts w:hint="eastAsia" w:ascii="宋体" w:hAnsi="宋体" w:eastAsia="宋体" w:cs="宋体"/>
                <w:snapToGrid/>
                <w:color w:val="auto"/>
                <w:spacing w:val="-12"/>
                <w:kern w:val="2"/>
                <w:lang w:eastAsia="zh-CN"/>
              </w:rPr>
              <w:t>提高</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vMerge w:val="restart"/>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社会效益</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木偶事业传承、传播、保护和发展</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较好</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5</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rPr>
              <w:t>本年度是否推动</w:t>
            </w:r>
            <w:r>
              <w:rPr>
                <w:rFonts w:hint="eastAsia" w:ascii="宋体" w:hAnsi="宋体" w:eastAsia="宋体" w:cs="宋体"/>
                <w:snapToGrid/>
                <w:color w:val="auto"/>
                <w:spacing w:val="-12"/>
                <w:kern w:val="2"/>
                <w:lang w:eastAsia="zh-CN"/>
              </w:rPr>
              <w:t>木偶</w:t>
            </w:r>
            <w:r>
              <w:rPr>
                <w:rFonts w:hint="eastAsia" w:ascii="宋体" w:hAnsi="宋体" w:eastAsia="宋体" w:cs="宋体"/>
                <w:snapToGrid/>
                <w:color w:val="auto"/>
                <w:spacing w:val="-12"/>
                <w:kern w:val="2"/>
              </w:rPr>
              <w:t>事业</w:t>
            </w:r>
            <w:r>
              <w:rPr>
                <w:rFonts w:hint="eastAsia" w:ascii="宋体" w:hAnsi="宋体" w:eastAsia="宋体" w:cs="宋体"/>
                <w:snapToGrid/>
                <w:color w:val="auto"/>
                <w:spacing w:val="-12"/>
                <w:kern w:val="2"/>
                <w:lang w:val="en-US" w:eastAsia="zh-CN"/>
              </w:rPr>
              <w:t>传承、传播、保护和发展</w:t>
            </w:r>
            <w:r>
              <w:rPr>
                <w:rFonts w:hint="eastAsia" w:ascii="宋体" w:hAnsi="宋体" w:eastAsia="宋体" w:cs="宋体"/>
                <w:snapToGrid/>
                <w:color w:val="auto"/>
                <w:spacing w:val="-12"/>
                <w:kern w:val="2"/>
              </w:rPr>
              <w:t>。 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keepNext w:val="0"/>
              <w:keepLines w:val="0"/>
              <w:widowControl/>
              <w:suppressLineNumbers w:val="0"/>
              <w:jc w:val="center"/>
              <w:textAlignment w:val="center"/>
              <w:rPr>
                <w:rFonts w:ascii="宋体" w:hAnsi="宋体" w:eastAsia="宋体" w:cs="宋体"/>
                <w:snapToGrid/>
                <w:color w:val="auto"/>
                <w:spacing w:val="-12"/>
                <w:kern w:val="2"/>
                <w:sz w:val="21"/>
                <w:szCs w:val="21"/>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较好</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0"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丰富广大人民群众的精神文化生活</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丰富</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5</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rPr>
              <w:t>本年度是否</w:t>
            </w:r>
            <w:r>
              <w:rPr>
                <w:rFonts w:hint="eastAsia" w:ascii="宋体" w:hAnsi="宋体" w:eastAsia="宋体" w:cs="宋体"/>
                <w:snapToGrid/>
                <w:color w:val="auto"/>
                <w:spacing w:val="-12"/>
                <w:kern w:val="2"/>
                <w:lang w:val="en-US" w:eastAsia="zh-CN"/>
              </w:rPr>
              <w:t>丰富广大人民群众的精神文化生活</w:t>
            </w:r>
            <w:r>
              <w:rPr>
                <w:rFonts w:hint="eastAsia" w:ascii="宋体" w:hAnsi="宋体" w:eastAsia="宋体" w:cs="宋体"/>
                <w:snapToGrid/>
                <w:color w:val="auto"/>
                <w:spacing w:val="-12"/>
                <w:kern w:val="2"/>
              </w:rPr>
              <w:t>。 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keepNext w:val="0"/>
              <w:keepLines w:val="0"/>
              <w:widowControl/>
              <w:suppressLineNumbers w:val="0"/>
              <w:jc w:val="center"/>
              <w:textAlignment w:val="center"/>
              <w:rPr>
                <w:rFonts w:ascii="宋体" w:hAnsi="宋体" w:eastAsia="宋体" w:cs="宋体"/>
                <w:snapToGrid/>
                <w:color w:val="auto"/>
                <w:spacing w:val="-12"/>
                <w:kern w:val="2"/>
                <w:sz w:val="21"/>
                <w:szCs w:val="21"/>
                <w:lang w:val="en-US" w:eastAsia="zh-CN" w:bidi="ar-SA"/>
              </w:rPr>
            </w:pPr>
            <w:r>
              <w:rPr>
                <w:rFonts w:hint="eastAsia" w:ascii="宋体" w:hAnsi="宋体" w:eastAsia="宋体" w:cs="宋体"/>
                <w:i w:val="0"/>
                <w:iCs w:val="0"/>
                <w:snapToGrid w:val="0"/>
                <w:color w:val="000000"/>
                <w:kern w:val="0"/>
                <w:sz w:val="18"/>
                <w:szCs w:val="18"/>
                <w:u w:val="none"/>
                <w:lang w:val="en-US" w:eastAsia="zh-CN" w:bidi="ar"/>
              </w:rPr>
              <w:t>丰富</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sz w:val="21"/>
                <w:szCs w:val="21"/>
                <w:lang w:val="en-US" w:eastAsia="zh-CN" w:bidi="ar-SA"/>
              </w:rPr>
            </w:pPr>
            <w:r>
              <w:rPr>
                <w:rFonts w:hint="eastAsia" w:ascii="宋体" w:hAnsi="宋体" w:eastAsia="宋体" w:cs="宋体"/>
                <w:snapToGrid/>
                <w:color w:val="auto"/>
                <w:spacing w:val="-12"/>
                <w:kern w:val="2"/>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生态效益</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对推出扬州文化的效果</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eastAsia" w:ascii="宋体" w:hAnsi="宋体" w:eastAsia="宋体" w:cs="宋体"/>
                <w:snapToGrid/>
                <w:color w:val="auto"/>
                <w:spacing w:val="-12"/>
                <w:kern w:val="2"/>
              </w:rPr>
            </w:pPr>
          </w:p>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显著</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6</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本年度是否</w:t>
            </w:r>
            <w:r>
              <w:rPr>
                <w:rFonts w:hint="eastAsia" w:ascii="宋体" w:hAnsi="宋体" w:eastAsia="宋体" w:cs="宋体"/>
                <w:snapToGrid/>
                <w:color w:val="auto"/>
                <w:spacing w:val="-12"/>
                <w:kern w:val="2"/>
                <w:lang w:val="en-US" w:eastAsia="zh-CN"/>
              </w:rPr>
              <w:t>对</w:t>
            </w:r>
            <w:r>
              <w:rPr>
                <w:rFonts w:hint="eastAsia" w:ascii="宋体" w:hAnsi="宋体" w:eastAsia="宋体" w:cs="宋体"/>
                <w:snapToGrid/>
                <w:color w:val="auto"/>
                <w:spacing w:val="-12"/>
                <w:kern w:val="2"/>
              </w:rPr>
              <w:t>推出扬州文化</w:t>
            </w:r>
            <w:r>
              <w:rPr>
                <w:rFonts w:hint="eastAsia" w:ascii="宋体" w:hAnsi="宋体" w:eastAsia="宋体" w:cs="宋体"/>
                <w:snapToGrid/>
                <w:color w:val="auto"/>
                <w:spacing w:val="-12"/>
                <w:kern w:val="2"/>
                <w:lang w:val="en-US" w:eastAsia="zh-CN"/>
              </w:rPr>
              <w:t>有显著</w:t>
            </w:r>
            <w:r>
              <w:rPr>
                <w:rFonts w:hint="eastAsia" w:ascii="宋体" w:hAnsi="宋体" w:eastAsia="宋体" w:cs="宋体"/>
                <w:snapToGrid/>
                <w:color w:val="auto"/>
                <w:spacing w:val="-12"/>
                <w:kern w:val="2"/>
              </w:rPr>
              <w:t>的效果。 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p>
            <w:pPr>
              <w:bidi w:val="0"/>
              <w:jc w:val="center"/>
              <w:rPr>
                <w:rFonts w:ascii="宋体" w:hAnsi="宋体" w:eastAsia="宋体" w:cs="宋体"/>
                <w:snapToGrid/>
                <w:color w:val="auto"/>
                <w:spacing w:val="-12"/>
                <w:kern w:val="2"/>
              </w:rPr>
            </w:pPr>
            <w:r>
              <w:rPr>
                <w:rFonts w:hint="eastAsia" w:ascii="Arial" w:hAnsi="Arial" w:cs="Arial" w:eastAsiaTheme="minorEastAsia"/>
                <w:snapToGrid w:val="0"/>
                <w:color w:val="000000"/>
                <w:kern w:val="0"/>
                <w:sz w:val="21"/>
                <w:szCs w:val="21"/>
                <w:lang w:val="en-US" w:eastAsia="zh-CN" w:bidi="ar-SA"/>
              </w:rPr>
              <w:t>显著</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1036" w:type="dxa"/>
            <w:vMerge w:val="continue"/>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507" w:type="dxa"/>
            <w:gridSpan w:val="2"/>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可持续影响</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eastAsia="zh-CN"/>
              </w:rPr>
              <w:t>木偶</w:t>
            </w:r>
            <w:r>
              <w:rPr>
                <w:rFonts w:hint="eastAsia" w:ascii="宋体" w:hAnsi="宋体" w:eastAsia="宋体" w:cs="宋体"/>
                <w:snapToGrid/>
                <w:color w:val="auto"/>
                <w:spacing w:val="-12"/>
                <w:kern w:val="2"/>
              </w:rPr>
              <w:t>社会影响力</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持续提升</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6</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本年度是否</w:t>
            </w:r>
            <w:r>
              <w:rPr>
                <w:rFonts w:hint="eastAsia" w:ascii="宋体" w:hAnsi="宋体" w:eastAsia="宋体" w:cs="宋体"/>
                <w:snapToGrid/>
                <w:color w:val="auto"/>
                <w:spacing w:val="-12"/>
                <w:kern w:val="2"/>
                <w:lang w:val="en-US" w:eastAsia="zh-CN"/>
              </w:rPr>
              <w:t>对木偶</w:t>
            </w:r>
            <w:r>
              <w:rPr>
                <w:rFonts w:hint="eastAsia" w:ascii="宋体" w:hAnsi="宋体" w:eastAsia="宋体" w:cs="宋体"/>
                <w:snapToGrid/>
                <w:color w:val="auto"/>
                <w:spacing w:val="-12"/>
                <w:kern w:val="2"/>
              </w:rPr>
              <w:t>事业发展的影响力</w:t>
            </w:r>
            <w:r>
              <w:rPr>
                <w:rFonts w:hint="eastAsia" w:ascii="宋体" w:hAnsi="宋体" w:eastAsia="宋体" w:cs="宋体"/>
                <w:snapToGrid/>
                <w:color w:val="auto"/>
                <w:spacing w:val="-12"/>
                <w:kern w:val="2"/>
                <w:lang w:val="en-US" w:eastAsia="zh-CN"/>
              </w:rPr>
              <w:t>有提升作用</w:t>
            </w:r>
            <w:r>
              <w:rPr>
                <w:rFonts w:hint="eastAsia" w:ascii="宋体" w:hAnsi="宋体" w:eastAsia="宋体" w:cs="宋体"/>
                <w:snapToGrid/>
                <w:color w:val="auto"/>
                <w:spacing w:val="-12"/>
                <w:kern w:val="2"/>
              </w:rPr>
              <w:t>。 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持续提升</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5" w:hRule="atLeast"/>
          <w:jc w:val="center"/>
        </w:trPr>
        <w:tc>
          <w:tcPr>
            <w:tcW w:w="103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满意度</w:t>
            </w:r>
          </w:p>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(10)</w:t>
            </w:r>
          </w:p>
        </w:tc>
        <w:tc>
          <w:tcPr>
            <w:tcW w:w="1507" w:type="dxa"/>
            <w:gridSpan w:val="2"/>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服务对象满意度</w:t>
            </w:r>
          </w:p>
        </w:tc>
        <w:tc>
          <w:tcPr>
            <w:tcW w:w="984"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观众满意度</w:t>
            </w:r>
          </w:p>
        </w:tc>
        <w:tc>
          <w:tcPr>
            <w:tcW w:w="90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≥95%</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10</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本年度服务对象对服务内容的满意度。 评分规则:达成年度指标100%-80%(含); 部分达成年度指标并具有一定效果80%-60%(含); 未达成年度指标且效果较差60%-0%。</w:t>
            </w: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rPr>
              <w:t>95%</w:t>
            </w: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hint="eastAsia" w:ascii="宋体" w:hAnsi="宋体" w:eastAsia="宋体" w:cs="宋体"/>
                <w:snapToGrid/>
                <w:color w:val="auto"/>
                <w:spacing w:val="-12"/>
                <w:kern w:val="2"/>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4433" w:type="dxa"/>
            <w:gridSpan w:val="5"/>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合计</w:t>
            </w:r>
          </w:p>
        </w:tc>
        <w:tc>
          <w:tcPr>
            <w:tcW w:w="68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100</w:t>
            </w:r>
          </w:p>
        </w:tc>
        <w:tc>
          <w:tcPr>
            <w:tcW w:w="3577"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1091"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p>
        </w:tc>
        <w:tc>
          <w:tcPr>
            <w:tcW w:w="688"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hint="default" w:ascii="宋体" w:hAnsi="宋体" w:eastAsia="宋体" w:cs="宋体"/>
                <w:snapToGrid/>
                <w:color w:val="auto"/>
                <w:spacing w:val="-12"/>
                <w:kern w:val="2"/>
                <w:lang w:val="en-US" w:eastAsia="zh-CN"/>
              </w:rPr>
            </w:pPr>
            <w:r>
              <w:rPr>
                <w:rFonts w:hint="eastAsia" w:ascii="宋体" w:hAnsi="宋体" w:eastAsia="宋体" w:cs="宋体"/>
                <w:snapToGrid/>
                <w:color w:val="auto"/>
                <w:spacing w:val="-12"/>
                <w:kern w:val="2"/>
                <w:lang w:val="en-US" w:eastAsia="zh-CN"/>
              </w:rPr>
              <w:t>96.92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1036" w:type="dxa"/>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绩效等级</w:t>
            </w:r>
          </w:p>
        </w:tc>
        <w:tc>
          <w:tcPr>
            <w:tcW w:w="9434" w:type="dxa"/>
            <w:gridSpan w:val="8"/>
            <w:tcBorders>
              <w:top w:val="single" w:color="000000" w:sz="4" w:space="0"/>
              <w:bottom w:val="single" w:color="000000" w:sz="4" w:space="0"/>
            </w:tcBorders>
            <w:vAlign w:val="center"/>
          </w:tcPr>
          <w:p>
            <w:pPr>
              <w:widowControl w:val="0"/>
              <w:kinsoku/>
              <w:autoSpaceDE/>
              <w:autoSpaceDN/>
              <w:spacing w:line="240" w:lineRule="exact"/>
              <w:jc w:val="center"/>
              <w:textAlignment w:val="auto"/>
              <w:rPr>
                <w:rFonts w:ascii="宋体" w:hAnsi="宋体" w:eastAsia="宋体" w:cs="宋体"/>
                <w:snapToGrid/>
                <w:color w:val="auto"/>
                <w:spacing w:val="-12"/>
                <w:kern w:val="2"/>
              </w:rPr>
            </w:pPr>
            <w:r>
              <w:rPr>
                <w:rFonts w:ascii="宋体" w:hAnsi="宋体" w:eastAsia="宋体" w:cs="宋体"/>
                <w:snapToGrid/>
                <w:color w:val="auto"/>
                <w:spacing w:val="-12"/>
                <w:kern w:val="2"/>
              </w:rPr>
              <w:t>绩效等级划分为四档:90(含)-100分为优、80(含)-90分为良、60(含)-80分为中、60分以下为差。</w:t>
            </w:r>
          </w:p>
        </w:tc>
      </w:tr>
    </w:tbl>
    <w:p>
      <w:pPr>
        <w:adjustRightInd w:val="0"/>
        <w:snapToGrid w:val="0"/>
        <w:spacing w:line="240" w:lineRule="auto"/>
        <w:ind w:left="0" w:leftChars="0" w:firstLine="0" w:firstLineChars="0"/>
        <w:jc w:val="left"/>
        <w:rPr>
          <w:rFonts w:hint="eastAsia" w:ascii="方正楷体_GBK" w:hAnsi="宋体" w:eastAsia="方正楷体_GBK" w:cs="宋体"/>
          <w:spacing w:val="-4"/>
          <w:szCs w:val="21"/>
          <w:lang w:eastAsia="zh-CN"/>
        </w:rPr>
      </w:pPr>
      <w:r>
        <w:rPr>
          <w:rFonts w:hint="eastAsia" w:ascii="方正楷体_GBK" w:hAnsi="宋体" w:eastAsia="方正楷体_GBK" w:cs="宋体"/>
          <w:spacing w:val="-4"/>
          <w:szCs w:val="21"/>
        </w:rPr>
        <w:t>注：1.</w:t>
      </w:r>
      <w:r>
        <w:rPr>
          <w:rFonts w:hint="eastAsia" w:ascii="方正楷体_GBK" w:hAnsi="宋体" w:eastAsia="方正楷体_GBK" w:cs="宋体"/>
          <w:spacing w:val="-4"/>
          <w:szCs w:val="21"/>
          <w:lang w:eastAsia="zh-CN"/>
        </w:rPr>
        <w:t>决策和过程等共性指标的三级指标名称、分值、评价要点及评分规则不能改动；履职、效益、满意度等个性指标的三级指标应突出重点，参照已设定的绩效目标设置。</w:t>
      </w:r>
    </w:p>
    <w:p>
      <w:pPr>
        <w:numPr>
          <w:ilvl w:val="0"/>
          <w:numId w:val="0"/>
        </w:numPr>
        <w:adjustRightInd w:val="0"/>
        <w:snapToGrid w:val="0"/>
        <w:spacing w:line="240" w:lineRule="auto"/>
        <w:ind w:firstLine="404" w:firstLineChars="200"/>
        <w:jc w:val="left"/>
        <w:rPr>
          <w:rFonts w:hint="eastAsia" w:ascii="方正楷体_GBK" w:hAnsi="宋体" w:eastAsia="方正楷体_GBK" w:cs="宋体"/>
          <w:spacing w:val="-4"/>
          <w:szCs w:val="21"/>
          <w:lang w:val="en-US" w:eastAsia="zh-CN"/>
        </w:rPr>
      </w:pPr>
      <w:r>
        <w:rPr>
          <w:rFonts w:hint="eastAsia" w:ascii="方正楷体_GBK" w:hAnsi="宋体" w:eastAsia="方正楷体_GBK" w:cs="宋体"/>
          <w:spacing w:val="-4"/>
          <w:szCs w:val="21"/>
          <w:lang w:val="en-US" w:eastAsia="zh-CN"/>
        </w:rPr>
        <w:t>2.三级个性指标的分值按照指标重要性原则设置，重要指标的分值大，反之则小。</w:t>
      </w:r>
    </w:p>
    <w:p>
      <w:pPr>
        <w:numPr>
          <w:ilvl w:val="0"/>
          <w:numId w:val="0"/>
        </w:numPr>
        <w:adjustRightInd w:val="0"/>
        <w:snapToGrid w:val="0"/>
        <w:spacing w:line="240" w:lineRule="auto"/>
        <w:ind w:left="0" w:leftChars="0" w:firstLine="404" w:firstLineChars="200"/>
        <w:jc w:val="left"/>
        <w:rPr>
          <w:rFonts w:hint="eastAsia" w:ascii="方正楷体_GBK" w:hAnsi="宋体" w:eastAsia="方正楷体_GBK" w:cs="宋体"/>
          <w:spacing w:val="-4"/>
          <w:szCs w:val="21"/>
          <w:lang w:val="en-US" w:eastAsia="zh-CN"/>
        </w:rPr>
      </w:pPr>
      <w:r>
        <w:rPr>
          <w:rFonts w:hint="eastAsia" w:ascii="方正楷体_GBK" w:hAnsi="宋体" w:eastAsia="方正楷体_GBK" w:cs="宋体"/>
          <w:spacing w:val="-4"/>
          <w:szCs w:val="21"/>
          <w:lang w:val="en-US" w:eastAsia="zh-CN"/>
        </w:rPr>
        <w:t>3.三级个性指标的评价要点和评分规则应细化量化、客观公正，具体参照共性指标评价要点和评分规则的设置方式进行设置</w:t>
      </w:r>
    </w:p>
    <w:p>
      <w:pPr>
        <w:numPr>
          <w:ilvl w:val="0"/>
          <w:numId w:val="0"/>
        </w:numPr>
        <w:adjustRightInd w:val="0"/>
        <w:snapToGrid w:val="0"/>
        <w:spacing w:line="240" w:lineRule="auto"/>
        <w:ind w:left="0" w:leftChars="0" w:firstLine="404" w:firstLineChars="200"/>
        <w:jc w:val="left"/>
        <w:rPr>
          <w:rFonts w:hint="eastAsia" w:ascii="方正楷体_GBK" w:hAnsi="楷体" w:eastAsia="方正楷体_GBK" w:cs="楷体"/>
          <w:spacing w:val="4"/>
          <w:sz w:val="32"/>
          <w:szCs w:val="32"/>
        </w:rPr>
      </w:pPr>
      <w:r>
        <w:rPr>
          <w:rFonts w:hint="eastAsia" w:ascii="方正楷体_GBK" w:hAnsi="宋体" w:eastAsia="方正楷体_GBK" w:cs="宋体"/>
          <w:spacing w:val="-4"/>
          <w:szCs w:val="21"/>
          <w:lang w:val="en-US" w:eastAsia="zh-CN"/>
        </w:rPr>
        <w:t>4.定性指标实际完成值原则上按照各评价要点内容分别填列说明，并对指标总体完成情况作出判定，给出相应评分；定量指标实际完成值直接填列数据，并按评分规则给出相应评</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roman"/>
    <w:pitch w:val="default"/>
    <w:sig w:usb0="00000003" w:usb1="288F0000" w:usb2="00000006" w:usb3="00000000" w:csb0="00040001"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1730"/>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zYjU1OWZiZWU3OTg5OGVmZGI3NzdlNTAyMzQ5MDkifQ=="/>
  </w:docVars>
  <w:rsids>
    <w:rsidRoot w:val="00EC6C76"/>
    <w:rsid w:val="00061954"/>
    <w:rsid w:val="000D0A1B"/>
    <w:rsid w:val="000D2CC1"/>
    <w:rsid w:val="000F3229"/>
    <w:rsid w:val="000F3A20"/>
    <w:rsid w:val="00125414"/>
    <w:rsid w:val="00180853"/>
    <w:rsid w:val="001F39BB"/>
    <w:rsid w:val="0020755B"/>
    <w:rsid w:val="002C47C8"/>
    <w:rsid w:val="002D7C6C"/>
    <w:rsid w:val="002F6608"/>
    <w:rsid w:val="003618AD"/>
    <w:rsid w:val="00375DA0"/>
    <w:rsid w:val="0039785E"/>
    <w:rsid w:val="003B796E"/>
    <w:rsid w:val="003E499C"/>
    <w:rsid w:val="00433498"/>
    <w:rsid w:val="004F3282"/>
    <w:rsid w:val="005A03C5"/>
    <w:rsid w:val="005B189A"/>
    <w:rsid w:val="005B3D40"/>
    <w:rsid w:val="005F21B2"/>
    <w:rsid w:val="00625A68"/>
    <w:rsid w:val="00634083"/>
    <w:rsid w:val="00646AAE"/>
    <w:rsid w:val="006916CC"/>
    <w:rsid w:val="006B1CA2"/>
    <w:rsid w:val="006D2DFA"/>
    <w:rsid w:val="006D76A2"/>
    <w:rsid w:val="00714363"/>
    <w:rsid w:val="00722D06"/>
    <w:rsid w:val="00733EAA"/>
    <w:rsid w:val="00766124"/>
    <w:rsid w:val="007735FC"/>
    <w:rsid w:val="007828C5"/>
    <w:rsid w:val="00791CB4"/>
    <w:rsid w:val="007967C9"/>
    <w:rsid w:val="00815108"/>
    <w:rsid w:val="00843886"/>
    <w:rsid w:val="0086141E"/>
    <w:rsid w:val="00864C98"/>
    <w:rsid w:val="008710FE"/>
    <w:rsid w:val="008C609E"/>
    <w:rsid w:val="008C75B2"/>
    <w:rsid w:val="0091613F"/>
    <w:rsid w:val="00920203"/>
    <w:rsid w:val="00952781"/>
    <w:rsid w:val="009529D4"/>
    <w:rsid w:val="009543BE"/>
    <w:rsid w:val="00992D9D"/>
    <w:rsid w:val="009C3FD2"/>
    <w:rsid w:val="009D52DD"/>
    <w:rsid w:val="009F4C2E"/>
    <w:rsid w:val="00A33581"/>
    <w:rsid w:val="00A440E4"/>
    <w:rsid w:val="00A53217"/>
    <w:rsid w:val="00AB056A"/>
    <w:rsid w:val="00AB2FEA"/>
    <w:rsid w:val="00AB394F"/>
    <w:rsid w:val="00B076F2"/>
    <w:rsid w:val="00B234B5"/>
    <w:rsid w:val="00B566EA"/>
    <w:rsid w:val="00B95744"/>
    <w:rsid w:val="00BA06E8"/>
    <w:rsid w:val="00BA522C"/>
    <w:rsid w:val="00BC4783"/>
    <w:rsid w:val="00BD0913"/>
    <w:rsid w:val="00BD3B33"/>
    <w:rsid w:val="00BF06A5"/>
    <w:rsid w:val="00BF2F70"/>
    <w:rsid w:val="00C23BD1"/>
    <w:rsid w:val="00CC1FDF"/>
    <w:rsid w:val="00CE5D1C"/>
    <w:rsid w:val="00D05F7F"/>
    <w:rsid w:val="00D371F3"/>
    <w:rsid w:val="00D7640F"/>
    <w:rsid w:val="00DA3D79"/>
    <w:rsid w:val="00DB727B"/>
    <w:rsid w:val="00DC361B"/>
    <w:rsid w:val="00DC4A8B"/>
    <w:rsid w:val="00E05CB0"/>
    <w:rsid w:val="00E36B3E"/>
    <w:rsid w:val="00E66924"/>
    <w:rsid w:val="00E72FA9"/>
    <w:rsid w:val="00EB7EFF"/>
    <w:rsid w:val="00EC6C76"/>
    <w:rsid w:val="00F9229A"/>
    <w:rsid w:val="00FB125D"/>
    <w:rsid w:val="00FD6403"/>
    <w:rsid w:val="00FE0AD7"/>
    <w:rsid w:val="020A53D5"/>
    <w:rsid w:val="074C5E70"/>
    <w:rsid w:val="07EC763C"/>
    <w:rsid w:val="09B4587D"/>
    <w:rsid w:val="130C6140"/>
    <w:rsid w:val="16C3745D"/>
    <w:rsid w:val="21076BB1"/>
    <w:rsid w:val="239B1EAC"/>
    <w:rsid w:val="39C96B86"/>
    <w:rsid w:val="3C9E57AB"/>
    <w:rsid w:val="46F3082A"/>
    <w:rsid w:val="50CA5AF7"/>
    <w:rsid w:val="533216B1"/>
    <w:rsid w:val="616952B6"/>
    <w:rsid w:val="63AE0F1B"/>
    <w:rsid w:val="65D518A6"/>
    <w:rsid w:val="662621EA"/>
    <w:rsid w:val="66D91D33"/>
    <w:rsid w:val="6C271CFB"/>
    <w:rsid w:val="74EC53FE"/>
    <w:rsid w:val="795C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cs="Arial" w:eastAsiaTheme="minorEastAsia"/>
      <w:snapToGrid w:val="0"/>
      <w:color w:val="000000"/>
      <w:kern w:val="0"/>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pPr>
    <w:rPr>
      <w:sz w:val="18"/>
      <w:szCs w:val="18"/>
    </w:rPr>
  </w:style>
  <w:style w:type="paragraph" w:styleId="3">
    <w:name w:val="header"/>
    <w:basedOn w:val="1"/>
    <w:link w:val="7"/>
    <w:autoRedefine/>
    <w:semiHidden/>
    <w:unhideWhenUsed/>
    <w:qFormat/>
    <w:uiPriority w:val="99"/>
    <w:pPr>
      <w:pBdr>
        <w:bottom w:val="single" w:color="auto" w:sz="6" w:space="1"/>
      </w:pBdr>
      <w:tabs>
        <w:tab w:val="center" w:pos="4153"/>
        <w:tab w:val="right" w:pos="8306"/>
      </w:tabs>
      <w:jc w:val="center"/>
    </w:pPr>
    <w:rPr>
      <w:sz w:val="18"/>
      <w:szCs w:val="18"/>
    </w:rPr>
  </w:style>
  <w:style w:type="table" w:customStyle="1" w:styleId="6">
    <w:name w:val="Table Normal"/>
    <w:autoRedefine/>
    <w:semiHidden/>
    <w:unhideWhenUsed/>
    <w:qFormat/>
    <w:uiPriority w:val="0"/>
    <w:rPr>
      <w:rFonts w:ascii="Arial" w:hAnsi="Arial" w:cs="Arial"/>
      <w:snapToGrid w:val="0"/>
      <w:color w:val="000000"/>
      <w:kern w:val="0"/>
      <w:szCs w:val="21"/>
    </w:rPr>
    <w:tblPr>
      <w:tblCellMar>
        <w:top w:w="0" w:type="dxa"/>
        <w:left w:w="0" w:type="dxa"/>
        <w:bottom w:w="0" w:type="dxa"/>
        <w:right w:w="0" w:type="dxa"/>
      </w:tblCellMar>
    </w:tblPr>
  </w:style>
  <w:style w:type="character" w:customStyle="1" w:styleId="7">
    <w:name w:val="页眉 Char"/>
    <w:basedOn w:val="5"/>
    <w:link w:val="3"/>
    <w:autoRedefine/>
    <w:semiHidden/>
    <w:qFormat/>
    <w:uiPriority w:val="99"/>
    <w:rPr>
      <w:rFonts w:ascii="Arial" w:hAnsi="Arial" w:cs="Arial"/>
      <w:snapToGrid w:val="0"/>
      <w:color w:val="000000"/>
      <w:kern w:val="0"/>
      <w:sz w:val="18"/>
      <w:szCs w:val="18"/>
    </w:rPr>
  </w:style>
  <w:style w:type="character" w:customStyle="1" w:styleId="8">
    <w:name w:val="页脚 Char"/>
    <w:basedOn w:val="5"/>
    <w:link w:val="2"/>
    <w:autoRedefine/>
    <w:qFormat/>
    <w:uiPriority w:val="99"/>
    <w:rPr>
      <w:rFonts w:ascii="Arial" w:hAnsi="Arial" w:cs="Arial"/>
      <w:snapToGrid w:val="0"/>
      <w:color w:val="000000"/>
      <w:kern w:val="0"/>
      <w:sz w:val="18"/>
      <w:szCs w:val="18"/>
    </w:rPr>
  </w:style>
  <w:style w:type="paragraph" w:styleId="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8AEE7-09A8-4A6E-86BE-4B0DD0E7C054}">
  <ds:schemaRefs/>
</ds:datastoreItem>
</file>

<file path=docProps/app.xml><?xml version="1.0" encoding="utf-8"?>
<Properties xmlns="http://schemas.openxmlformats.org/officeDocument/2006/extended-properties" xmlns:vt="http://schemas.openxmlformats.org/officeDocument/2006/docPropsVTypes">
  <Template>Normal.dotm</Template>
  <Company>360xt.cn</Company>
  <Pages>6</Pages>
  <Words>6163</Words>
  <Characters>7046</Characters>
  <Lines>40</Lines>
  <Paragraphs>11</Paragraphs>
  <TotalTime>44</TotalTime>
  <ScaleCrop>false</ScaleCrop>
  <LinksUpToDate>false</LinksUpToDate>
  <CharactersWithSpaces>7082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2023-02-16T07:52:00Z</dcterms:created>
  <dc:creator>李燕</dc:creator>
  <cp:lastModifiedBy>WPS_1682927818</cp:lastModifiedBy>
  <cp:lastPrinted>2024-06-26T08:50:44Z</cp:lastPrinted>
  <dcterms:modified xsi:type="dcterms:W3CDTF">2024-06-26T08:53:47Z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A72D72C802464243B570B280B3304C09_13</vt:lpwstr>
  </property>
</Properties>
</file>